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highlight w:val="none"/>
        </w:rPr>
      </w:pPr>
    </w:p>
    <w:p>
      <w:pPr>
        <w:spacing w:line="560" w:lineRule="exact"/>
        <w:jc w:val="center"/>
        <w:rPr>
          <w:rFonts w:ascii="方正大标宋_GBK" w:hAnsi="方正大标宋_GBK" w:eastAsia="方正大标宋_GBK" w:cs="方正大标宋_GBK"/>
          <w:b/>
          <w:sz w:val="30"/>
          <w:szCs w:val="30"/>
          <w:highlight w:val="none"/>
        </w:rPr>
      </w:pPr>
      <w:r>
        <w:rPr>
          <w:rFonts w:hint="eastAsia" w:ascii="方正大标宋_GBK" w:hAnsi="方正大标宋_GBK" w:eastAsia="方正大标宋_GBK" w:cs="方正大标宋_GBK"/>
          <w:b/>
          <w:sz w:val="30"/>
          <w:szCs w:val="30"/>
          <w:highlight w:val="none"/>
        </w:rPr>
        <w:t>2022年职教工作“提高质量，提升形象”专题研讨会系列之</w:t>
      </w:r>
    </w:p>
    <w:p>
      <w:pPr>
        <w:spacing w:line="560" w:lineRule="exact"/>
        <w:jc w:val="center"/>
        <w:rPr>
          <w:rFonts w:hint="eastAsia" w:ascii="方正大标宋_GBK" w:hAnsi="方正大标宋_GBK" w:eastAsia="方正大标宋_GBK" w:cs="方正大标宋_GBK"/>
          <w:b/>
          <w:sz w:val="30"/>
          <w:szCs w:val="30"/>
          <w:highlight w:val="none"/>
        </w:rPr>
      </w:pPr>
      <w:r>
        <w:rPr>
          <w:rFonts w:hint="eastAsia" w:ascii="方正大标宋_GBK" w:hAnsi="方正大标宋_GBK" w:eastAsia="方正大标宋_GBK" w:cs="方正大标宋_GBK"/>
          <w:b/>
          <w:sz w:val="30"/>
          <w:szCs w:val="30"/>
          <w:highlight w:val="none"/>
        </w:rPr>
        <w:t>职教高考精准备考线上研讨邀请函</w:t>
      </w:r>
    </w:p>
    <w:p>
      <w:pPr>
        <w:pStyle w:val="2"/>
        <w:rPr>
          <w:highlight w:val="none"/>
        </w:rPr>
      </w:pPr>
    </w:p>
    <w:p>
      <w:pPr>
        <w:spacing w:line="5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各中职学校：</w:t>
      </w:r>
    </w:p>
    <w:p>
      <w:pPr>
        <w:pStyle w:val="2"/>
        <w:spacing w:after="0" w:line="5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为响应新修订的《职业教育法》，深入贯彻落实全国职业教育大会精神、《国家职业教育改革实施方案》《职业教育提质培优行动计划（2020—2023年）》《关于推动现代职业教育高质量发展的意见》文件精神，落实立德树人的根本任务，深化中等职业学校“教师、教材、教法”改革，在2022年职教工作两大任务“提高质量，提升形象”的背景下，为促进学生更好地迈入普通高校（包括本科和高职）深造，我们计划于2022年</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25</w:t>
      </w:r>
      <w:r>
        <w:rPr>
          <w:rFonts w:hint="eastAsia" w:asciiTheme="minorEastAsia" w:hAnsiTheme="minorEastAsia" w:eastAsiaTheme="minorEastAsia" w:cstheme="minorEastAsia"/>
          <w:szCs w:val="21"/>
          <w:highlight w:val="none"/>
        </w:rPr>
        <w:t>日</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5月26日分别在四川省和湖北省</w:t>
      </w:r>
      <w:r>
        <w:rPr>
          <w:rFonts w:hint="eastAsia" w:asciiTheme="minorEastAsia" w:hAnsiTheme="minorEastAsia" w:eastAsiaTheme="minorEastAsia" w:cstheme="minorEastAsia"/>
          <w:szCs w:val="21"/>
          <w:highlight w:val="none"/>
        </w:rPr>
        <w:t>举办“2022年职教工作‘提高质量，提升形象’专题研讨会系列之职教高考精准备考线上研讨会”，探讨疫情当下如何进行科学高效职教高考备考，提高中职文化课教学质量，提</w:t>
      </w:r>
      <w:r>
        <w:rPr>
          <w:rFonts w:hint="eastAsia" w:asciiTheme="minorEastAsia" w:hAnsiTheme="minorEastAsia" w:eastAsiaTheme="minorEastAsia" w:cstheme="minorEastAsia"/>
          <w:szCs w:val="21"/>
          <w:highlight w:val="none"/>
          <w:lang w:val="en-US" w:eastAsia="zh-CN"/>
        </w:rPr>
        <w:t>升</w:t>
      </w:r>
      <w:r>
        <w:rPr>
          <w:rFonts w:hint="eastAsia" w:asciiTheme="minorEastAsia" w:hAnsiTheme="minorEastAsia" w:eastAsiaTheme="minorEastAsia" w:cstheme="minorEastAsia"/>
          <w:szCs w:val="21"/>
          <w:highlight w:val="none"/>
        </w:rPr>
        <w:t>职教高考文化课复习效率，解决复习盲区，让文化课教学更有针对性、导向性，从而加快中等职业教育内涵发展和质量提高。届时将邀请有多年职教高考备考经验的名师分享疫情当下职教高考备考策略，研讨如何整合现有线下线上资源进行职教高考精准备考。</w:t>
      </w:r>
    </w:p>
    <w:p>
      <w:pPr>
        <w:pStyle w:val="2"/>
        <w:spacing w:after="0" w:line="560" w:lineRule="exact"/>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诚邀各中职学校参加！</w:t>
      </w:r>
    </w:p>
    <w:p>
      <w:pPr>
        <w:pStyle w:val="2"/>
        <w:spacing w:after="0" w:line="560" w:lineRule="exact"/>
        <w:ind w:firstLine="420" w:firstLineChars="200"/>
        <w:rPr>
          <w:rFonts w:ascii="楷体" w:hAnsi="楷体" w:eastAsia="楷体" w:cs="楷体"/>
          <w:kern w:val="0"/>
          <w:szCs w:val="21"/>
          <w:highlight w:val="none"/>
        </w:rPr>
      </w:pPr>
      <w:r>
        <w:rPr>
          <w:rFonts w:hint="eastAsia" w:ascii="楷体" w:hAnsi="楷体" w:eastAsia="楷体" w:cs="楷体"/>
          <w:kern w:val="0"/>
          <w:szCs w:val="21"/>
          <w:highlight w:val="none"/>
        </w:rPr>
        <w:t>现将有关事项通知如下：</w:t>
      </w:r>
    </w:p>
    <w:p>
      <w:pPr>
        <w:spacing w:line="560" w:lineRule="exact"/>
        <w:ind w:firstLine="422" w:firstLineChars="200"/>
        <w:rPr>
          <w:rFonts w:ascii="方正黑体_GBK" w:hAnsi="方正黑体_GBK" w:eastAsia="方正黑体_GBK" w:cs="方正黑体_GBK"/>
          <w:b/>
          <w:bCs/>
          <w:szCs w:val="21"/>
          <w:highlight w:val="none"/>
        </w:rPr>
      </w:pPr>
      <w:r>
        <w:rPr>
          <w:rFonts w:hint="eastAsia" w:ascii="方正黑体_GBK" w:hAnsi="方正黑体_GBK" w:eastAsia="方正黑体_GBK" w:cs="方正黑体_GBK"/>
          <w:b/>
          <w:bCs/>
          <w:szCs w:val="21"/>
          <w:highlight w:val="none"/>
        </w:rPr>
        <w:t>一、会议时间及地点</w:t>
      </w:r>
    </w:p>
    <w:p>
      <w:pPr>
        <w:pStyle w:val="2"/>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1.四川省语文、数学、英语学科会场：</w:t>
      </w:r>
    </w:p>
    <w:p>
      <w:pPr>
        <w:pStyle w:val="2"/>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会议时间：2022年5月25日，时间：13:30—16:30</w:t>
      </w:r>
    </w:p>
    <w:p>
      <w:pPr>
        <w:pStyle w:val="2"/>
        <w:spacing w:line="360" w:lineRule="auto"/>
        <w:ind w:firstLine="420" w:firstLineChars="200"/>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会议地点：</w:t>
      </w:r>
    </w:p>
    <w:p>
      <w:pPr>
        <w:spacing w:line="360" w:lineRule="auto"/>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1号直播室（语文）腾讯线上会议号：642898179</w:t>
      </w:r>
    </w:p>
    <w:p>
      <w:pPr>
        <w:spacing w:line="360" w:lineRule="auto"/>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2号直播室（数学）腾讯线上会议号：134271566</w:t>
      </w:r>
    </w:p>
    <w:p>
      <w:pPr>
        <w:spacing w:line="360" w:lineRule="auto"/>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3号直播室（英语）腾讯线上会议号：945653805</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2.湖北</w:t>
      </w:r>
      <w:r>
        <w:rPr>
          <w:rFonts w:hint="eastAsia" w:ascii="宋体" w:hAnsi="宋体" w:eastAsia="宋体" w:cs="宋体"/>
          <w:kern w:val="2"/>
          <w:sz w:val="21"/>
          <w:szCs w:val="21"/>
          <w:highlight w:val="none"/>
          <w:lang w:val="en-US" w:eastAsia="zh-CN" w:bidi="ar-SA"/>
        </w:rPr>
        <w:t>省语文、数学、英语</w:t>
      </w:r>
      <w:r>
        <w:rPr>
          <w:rFonts w:hint="eastAsia" w:ascii="宋体" w:hAnsi="宋体" w:cs="宋体"/>
          <w:kern w:val="2"/>
          <w:sz w:val="21"/>
          <w:szCs w:val="21"/>
          <w:highlight w:val="none"/>
          <w:lang w:val="en-US" w:eastAsia="zh-CN" w:bidi="ar-SA"/>
        </w:rPr>
        <w:t>学科会场</w:t>
      </w:r>
      <w:r>
        <w:rPr>
          <w:rFonts w:hint="eastAsia" w:ascii="宋体" w:hAnsi="宋体" w:eastAsia="宋体" w:cs="宋体"/>
          <w:kern w:val="2"/>
          <w:sz w:val="21"/>
          <w:szCs w:val="21"/>
          <w:highlight w:val="none"/>
          <w:lang w:val="en-US" w:eastAsia="zh-CN" w:bidi="ar-SA"/>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210" w:firstLineChars="100"/>
        <w:textAlignment w:val="auto"/>
        <w:rPr>
          <w:rFonts w:hint="eastAsia" w:asciiTheme="minorEastAsia" w:hAnsiTheme="minorEastAsia" w:eastAsiaTheme="minorEastAsia" w:cstheme="minorEastAsia"/>
          <w:szCs w:val="21"/>
          <w:highlight w:val="none"/>
        </w:rPr>
      </w:pPr>
      <w:r>
        <w:rPr>
          <w:rFonts w:hint="eastAsia" w:ascii="宋体" w:hAnsi="宋体" w:eastAsia="宋体" w:cs="宋体"/>
          <w:kern w:val="2"/>
          <w:sz w:val="21"/>
          <w:szCs w:val="21"/>
          <w:highlight w:val="none"/>
          <w:lang w:val="en-US" w:eastAsia="zh-CN" w:bidi="ar-SA"/>
        </w:rPr>
        <w:t>会议时间：</w:t>
      </w:r>
      <w:r>
        <w:rPr>
          <w:rFonts w:hint="eastAsia" w:asciiTheme="minorEastAsia" w:hAnsiTheme="minorEastAsia" w:eastAsiaTheme="minorEastAsia" w:cstheme="minorEastAsia"/>
          <w:szCs w:val="21"/>
          <w:highlight w:val="none"/>
        </w:rPr>
        <w:t>2022年</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26</w:t>
      </w:r>
      <w:r>
        <w:rPr>
          <w:rFonts w:hint="eastAsia" w:asciiTheme="minorEastAsia" w:hAnsiTheme="minorEastAsia" w:eastAsiaTheme="minorEastAsia" w:cstheme="minorEastAsia"/>
          <w:szCs w:val="21"/>
          <w:highlight w:val="none"/>
        </w:rPr>
        <w:t>日，时间：13:30—1</w:t>
      </w:r>
      <w:r>
        <w:rPr>
          <w:rFonts w:asciiTheme="minorEastAsia" w:hAnsiTheme="minorEastAsia" w:eastAsiaTheme="minorEastAsia" w:cstheme="minorEastAsia"/>
          <w:szCs w:val="21"/>
          <w:highlight w:val="none"/>
        </w:rPr>
        <w:t>6</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rPr>
        <w:t>0</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210" w:firstLineChars="100"/>
        <w:textAlignment w:val="auto"/>
        <w:rPr>
          <w:rFonts w:hint="eastAsia" w:asciiTheme="minorEastAsia" w:hAnsiTheme="minorEastAsia" w:eastAsiaTheme="minorEastAsia" w:cstheme="minorEastAsia"/>
          <w:szCs w:val="21"/>
          <w:highlight w:val="none"/>
        </w:rPr>
      </w:pPr>
      <w:r>
        <w:rPr>
          <w:rFonts w:hint="eastAsia" w:ascii="宋体" w:hAnsi="宋体" w:eastAsia="宋体" w:cs="宋体"/>
          <w:kern w:val="2"/>
          <w:sz w:val="21"/>
          <w:szCs w:val="21"/>
          <w:highlight w:val="none"/>
          <w:lang w:val="en-US" w:eastAsia="zh-CN" w:bidi="ar-SA"/>
        </w:rPr>
        <w:t>会议地点：</w:t>
      </w:r>
    </w:p>
    <w:p>
      <w:pPr>
        <w:spacing w:line="560" w:lineRule="exact"/>
        <w:ind w:firstLine="420"/>
        <w:rPr>
          <w:rFonts w:hint="eastAsia" w:asciiTheme="minorEastAsia" w:hAnsiTheme="minorEastAsia" w:eastAsiaTheme="minorEastAsia" w:cstheme="minorEastAsia"/>
          <w:kern w:val="2"/>
          <w:sz w:val="21"/>
          <w:szCs w:val="21"/>
          <w:highlight w:val="none"/>
          <w:lang w:val="en-US" w:eastAsia="zh-CN" w:bidi="ar-SA"/>
        </w:rPr>
      </w:pPr>
      <w:bookmarkStart w:id="0" w:name="_GoBack"/>
      <w:r>
        <w:rPr>
          <w:rFonts w:hint="eastAsia" w:asciiTheme="minorEastAsia" w:hAnsiTheme="minorEastAsia" w:eastAsiaTheme="minorEastAsia" w:cstheme="minorEastAsia"/>
          <w:kern w:val="2"/>
          <w:sz w:val="21"/>
          <w:szCs w:val="21"/>
          <w:highlight w:val="none"/>
          <w:lang w:val="en-US" w:eastAsia="zh-CN" w:bidi="ar-SA"/>
        </w:rPr>
        <w:t>1号直播室（语文）腾讯线上会议号：436167185</w:t>
      </w:r>
    </w:p>
    <w:bookmarkEnd w:id="0"/>
    <w:p>
      <w:pPr>
        <w:spacing w:line="560" w:lineRule="exact"/>
        <w:ind w:firstLine="420"/>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2号直播室（数学）腾讯</w:t>
      </w:r>
      <w:r>
        <w:rPr>
          <w:rFonts w:hint="eastAsia" w:asciiTheme="minorEastAsia" w:hAnsiTheme="minorEastAsia" w:eastAsiaTheme="minorEastAsia" w:cstheme="minorEastAsia"/>
          <w:szCs w:val="21"/>
          <w:highlight w:val="none"/>
          <w:lang w:val="en-US" w:eastAsia="zh-CN"/>
        </w:rPr>
        <w:t>线上</w:t>
      </w:r>
      <w:r>
        <w:rPr>
          <w:rFonts w:hint="eastAsia" w:asciiTheme="minorEastAsia" w:hAnsiTheme="minorEastAsia" w:eastAsiaTheme="minorEastAsia" w:cstheme="minorEastAsia"/>
          <w:szCs w:val="21"/>
          <w:highlight w:val="none"/>
        </w:rPr>
        <w:t>会议号：</w:t>
      </w:r>
      <w:r>
        <w:rPr>
          <w:rFonts w:hint="eastAsia" w:ascii="宋体" w:hAnsi="宋体"/>
          <w:szCs w:val="21"/>
          <w:highlight w:val="none"/>
        </w:rPr>
        <w:t>169500586</w:t>
      </w:r>
    </w:p>
    <w:p>
      <w:pPr>
        <w:spacing w:line="560" w:lineRule="exact"/>
        <w:ind w:firstLine="420"/>
        <w:rPr>
          <w:rFonts w:hint="eastAsia"/>
          <w:lang w:val="en-US" w:eastAsia="zh-CN"/>
        </w:rPr>
      </w:pPr>
      <w:r>
        <w:rPr>
          <w:rFonts w:hint="eastAsia" w:asciiTheme="minorEastAsia" w:hAnsiTheme="minorEastAsia" w:eastAsiaTheme="minorEastAsia" w:cstheme="minorEastAsia"/>
          <w:szCs w:val="21"/>
          <w:highlight w:val="none"/>
        </w:rPr>
        <w:t>3号直播室（英语）腾讯</w:t>
      </w:r>
      <w:r>
        <w:rPr>
          <w:rFonts w:hint="eastAsia" w:asciiTheme="minorEastAsia" w:hAnsiTheme="minorEastAsia" w:eastAsiaTheme="minorEastAsia" w:cstheme="minorEastAsia"/>
          <w:szCs w:val="21"/>
          <w:highlight w:val="none"/>
          <w:lang w:val="en-US" w:eastAsia="zh-CN"/>
        </w:rPr>
        <w:t>线上</w:t>
      </w:r>
      <w:r>
        <w:rPr>
          <w:rFonts w:hint="eastAsia" w:asciiTheme="minorEastAsia" w:hAnsiTheme="minorEastAsia" w:eastAsiaTheme="minorEastAsia" w:cstheme="minorEastAsia"/>
          <w:szCs w:val="21"/>
          <w:highlight w:val="none"/>
        </w:rPr>
        <w:t>会议号：</w:t>
      </w:r>
      <w:r>
        <w:rPr>
          <w:rFonts w:hint="eastAsia" w:ascii="宋体" w:hAnsi="宋体"/>
          <w:szCs w:val="21"/>
          <w:highlight w:val="none"/>
        </w:rPr>
        <w:t>928136995</w:t>
      </w:r>
    </w:p>
    <w:p>
      <w:pPr>
        <w:spacing w:line="560" w:lineRule="exact"/>
        <w:ind w:firstLine="422" w:firstLineChars="200"/>
        <w:rPr>
          <w:rFonts w:ascii="方正黑体_GBK" w:hAnsi="方正黑体_GBK" w:eastAsia="方正黑体_GBK" w:cs="方正黑体_GBK"/>
          <w:b/>
          <w:bCs/>
          <w:szCs w:val="21"/>
          <w:highlight w:val="none"/>
        </w:rPr>
      </w:pPr>
      <w:r>
        <w:rPr>
          <w:rFonts w:hint="eastAsia" w:ascii="方正黑体_GBK" w:hAnsi="方正黑体_GBK" w:eastAsia="方正黑体_GBK" w:cs="方正黑体_GBK"/>
          <w:b/>
          <w:bCs/>
          <w:szCs w:val="21"/>
          <w:highlight w:val="none"/>
        </w:rPr>
        <w:t>二、参会对象</w:t>
      </w:r>
    </w:p>
    <w:p>
      <w:pPr>
        <w:spacing w:line="560" w:lineRule="exact"/>
        <w:ind w:firstLine="420" w:firstLineChars="200"/>
        <w:rPr>
          <w:highlight w:val="none"/>
        </w:rPr>
      </w:pPr>
      <w:r>
        <w:rPr>
          <w:rFonts w:hint="eastAsia" w:ascii="宋体" w:hAnsi="宋体" w:cs="宋体"/>
          <w:szCs w:val="21"/>
          <w:highlight w:val="none"/>
        </w:rPr>
        <w:t>秉持深入贯彻全国职业教育大会精神，推动我</w:t>
      </w:r>
      <w:r>
        <w:rPr>
          <w:rFonts w:hint="eastAsia" w:ascii="宋体" w:hAnsi="宋体" w:cs="宋体"/>
          <w:szCs w:val="21"/>
          <w:highlight w:val="none"/>
          <w:lang w:val="en-US" w:eastAsia="zh-CN"/>
        </w:rPr>
        <w:t>省</w:t>
      </w:r>
      <w:r>
        <w:rPr>
          <w:rFonts w:hint="eastAsia" w:ascii="宋体" w:hAnsi="宋体" w:cs="宋体"/>
          <w:szCs w:val="21"/>
          <w:highlight w:val="none"/>
        </w:rPr>
        <w:t>职业教育高质量发展，此次会议面向全</w:t>
      </w:r>
      <w:r>
        <w:rPr>
          <w:rFonts w:hint="eastAsia" w:ascii="宋体" w:hAnsi="宋体" w:cs="宋体"/>
          <w:szCs w:val="21"/>
          <w:highlight w:val="none"/>
          <w:lang w:val="en-US" w:eastAsia="zh-CN"/>
        </w:rPr>
        <w:t>省</w:t>
      </w:r>
      <w:r>
        <w:rPr>
          <w:rFonts w:hint="eastAsia" w:ascii="宋体" w:hAnsi="宋体" w:cs="宋体"/>
          <w:szCs w:val="21"/>
          <w:highlight w:val="none"/>
        </w:rPr>
        <w:t xml:space="preserve">各中职学校校长、教学校长、教务主任、语文教研组长、数学教研组长、英语教研组长及各学科教师。 </w:t>
      </w:r>
      <w:r>
        <w:rPr>
          <w:rFonts w:ascii="宋体" w:hAnsi="宋体" w:cs="宋体"/>
          <w:szCs w:val="21"/>
          <w:highlight w:val="none"/>
        </w:rPr>
        <w:t xml:space="preserve">  </w:t>
      </w:r>
    </w:p>
    <w:p>
      <w:pPr>
        <w:spacing w:line="560" w:lineRule="exact"/>
        <w:ind w:firstLine="422" w:firstLineChars="200"/>
        <w:rPr>
          <w:highlight w:val="none"/>
        </w:rPr>
      </w:pPr>
      <w:r>
        <w:rPr>
          <w:rFonts w:hint="eastAsia" w:ascii="方正黑体_GBK" w:hAnsi="方正黑体_GBK" w:eastAsia="方正黑体_GBK" w:cs="方正黑体_GBK"/>
          <w:b/>
          <w:bCs/>
          <w:szCs w:val="21"/>
          <w:highlight w:val="none"/>
        </w:rPr>
        <w:t>三、会议安排</w:t>
      </w:r>
    </w:p>
    <w:tbl>
      <w:tblPr>
        <w:tblStyle w:val="8"/>
        <w:tblW w:w="8641"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080"/>
        <w:gridCol w:w="1728"/>
        <w:gridCol w:w="3643"/>
        <w:gridCol w:w="21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0" w:hRule="atLeast"/>
        </w:trPr>
        <w:tc>
          <w:tcPr>
            <w:tcW w:w="1080" w:type="dxa"/>
            <w:tcBorders>
              <w:bottom w:val="single" w:color="000000" w:sz="4" w:space="0"/>
              <w:right w:val="single" w:color="000000"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kern w:val="0"/>
                <w:highlight w:val="none"/>
              </w:rPr>
              <w:t>会场</w:t>
            </w:r>
          </w:p>
        </w:tc>
        <w:tc>
          <w:tcPr>
            <w:tcW w:w="1728" w:type="dxa"/>
            <w:tcBorders>
              <w:left w:val="nil"/>
              <w:bottom w:val="single" w:color="000000" w:sz="4" w:space="0"/>
              <w:right w:val="single" w:color="000000"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kern w:val="0"/>
                <w:highlight w:val="none"/>
              </w:rPr>
              <w:t>时间</w:t>
            </w:r>
          </w:p>
        </w:tc>
        <w:tc>
          <w:tcPr>
            <w:tcW w:w="3643" w:type="dxa"/>
            <w:tcBorders>
              <w:left w:val="nil"/>
              <w:bottom w:val="single" w:color="000000" w:sz="4" w:space="0"/>
              <w:right w:val="single" w:color="000000"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kern w:val="0"/>
                <w:highlight w:val="none"/>
              </w:rPr>
              <w:t>主要事项</w:t>
            </w:r>
          </w:p>
        </w:tc>
        <w:tc>
          <w:tcPr>
            <w:tcW w:w="2190" w:type="dxa"/>
            <w:tcBorders>
              <w:left w:val="nil"/>
              <w:bottom w:val="single" w:color="000000"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cs="宋体"/>
                <w:b/>
                <w:bCs/>
                <w:color w:val="000000"/>
                <w:kern w:val="0"/>
                <w:szCs w:val="21"/>
                <w:highlight w:val="none"/>
                <w:lang w:bidi="ar"/>
              </w:rPr>
              <w:t>参会人员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restart"/>
            <w:tcBorders>
              <w:top w:val="single" w:color="auto" w:sz="4" w:space="0"/>
              <w:bottom w:val="single" w:color="auto" w:sz="4" w:space="0"/>
              <w:right w:val="single" w:color="auto" w:sz="4" w:space="0"/>
            </w:tcBorders>
            <w:vAlign w:val="center"/>
          </w:tcPr>
          <w:p>
            <w:pPr>
              <w:widowControl/>
              <w:autoSpaceDE w:val="0"/>
              <w:spacing w:line="480" w:lineRule="exact"/>
              <w:jc w:val="center"/>
              <w:textAlignment w:val="center"/>
              <w:rPr>
                <w:rFonts w:ascii="宋体" w:hAnsi="宋体"/>
                <w:b/>
                <w:color w:val="000000"/>
                <w:highlight w:val="none"/>
              </w:rPr>
            </w:pPr>
          </w:p>
          <w:p>
            <w:pPr>
              <w:widowControl/>
              <w:autoSpaceDE w:val="0"/>
              <w:spacing w:line="480" w:lineRule="exact"/>
              <w:jc w:val="center"/>
              <w:textAlignment w:val="center"/>
              <w:rPr>
                <w:rFonts w:ascii="宋体" w:hAnsi="宋体"/>
                <w:b/>
                <w:color w:val="000000"/>
                <w:highlight w:val="none"/>
              </w:rPr>
            </w:pPr>
          </w:p>
          <w:p>
            <w:pPr>
              <w:widowControl/>
              <w:autoSpaceDE w:val="0"/>
              <w:spacing w:line="480" w:lineRule="exact"/>
              <w:jc w:val="center"/>
              <w:textAlignment w:val="center"/>
              <w:rPr>
                <w:rFonts w:ascii="宋体" w:hAnsi="宋体"/>
                <w:b/>
                <w:color w:val="000000"/>
                <w:highlight w:val="none"/>
              </w:rPr>
            </w:pPr>
          </w:p>
          <w:p>
            <w:pPr>
              <w:widowControl/>
              <w:autoSpaceDE w:val="0"/>
              <w:spacing w:line="480" w:lineRule="exact"/>
              <w:jc w:val="center"/>
              <w:textAlignment w:val="center"/>
              <w:rPr>
                <w:rFonts w:ascii="宋体" w:hAnsi="宋体"/>
                <w:b/>
                <w:color w:val="000000"/>
                <w:highlight w:val="none"/>
              </w:rPr>
            </w:pPr>
          </w:p>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highlight w:val="none"/>
              </w:rPr>
              <w:t>语文会场</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13:30-14:30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专家报告：疫情当下，职教高考复习语文学科备考策略</w:t>
            </w:r>
          </w:p>
        </w:tc>
        <w:tc>
          <w:tcPr>
            <w:tcW w:w="2190" w:type="dxa"/>
            <w:vMerge w:val="restart"/>
            <w:tcBorders>
              <w:top w:val="single" w:color="auto" w:sz="4" w:space="0"/>
              <w:left w:val="single" w:color="auto" w:sz="4" w:space="0"/>
            </w:tcBorders>
            <w:vAlign w:val="center"/>
          </w:tcPr>
          <w:p>
            <w:pPr>
              <w:autoSpaceDE w:val="0"/>
              <w:spacing w:line="480" w:lineRule="exact"/>
              <w:jc w:val="center"/>
              <w:rPr>
                <w:rFonts w:ascii="宋体" w:hAnsi="宋体"/>
                <w:b/>
                <w:color w:val="000000"/>
                <w:highlight w:val="none"/>
              </w:rPr>
            </w:pPr>
            <w:r>
              <w:rPr>
                <w:rFonts w:hint="eastAsia" w:ascii="宋体" w:hAnsi="宋体"/>
                <w:b/>
                <w:color w:val="000000"/>
                <w:highlight w:val="none"/>
              </w:rPr>
              <w:t>语文教师、教研组长，负责语文的教学领导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14:30-14:40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14:40-15:40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专家分享：语文学科职教高考科学高效备考——如何提</w:t>
            </w:r>
            <w:r>
              <w:rPr>
                <w:rFonts w:hint="eastAsia" w:ascii="宋体" w:hAnsi="宋体" w:cs="宋体"/>
                <w:b/>
                <w:bCs/>
                <w:i w:val="0"/>
                <w:iCs w:val="0"/>
                <w:color w:val="000000"/>
                <w:kern w:val="0"/>
                <w:sz w:val="21"/>
                <w:szCs w:val="21"/>
                <w:highlight w:val="none"/>
                <w:u w:val="none"/>
                <w:lang w:val="en-US" w:eastAsia="zh-CN" w:bidi="ar"/>
              </w:rPr>
              <w:t>高</w:t>
            </w:r>
            <w:r>
              <w:rPr>
                <w:rFonts w:hint="eastAsia" w:ascii="宋体" w:hAnsi="宋体" w:eastAsia="宋体" w:cs="宋体"/>
                <w:b/>
                <w:bCs/>
                <w:i w:val="0"/>
                <w:iCs w:val="0"/>
                <w:color w:val="000000"/>
                <w:kern w:val="0"/>
                <w:sz w:val="21"/>
                <w:szCs w:val="21"/>
                <w:highlight w:val="none"/>
                <w:u w:val="none"/>
                <w:lang w:val="en-US" w:eastAsia="zh-CN" w:bidi="ar"/>
              </w:rPr>
              <w:t>复习质量，如何提</w:t>
            </w:r>
            <w:r>
              <w:rPr>
                <w:rFonts w:hint="eastAsia" w:ascii="宋体" w:hAnsi="宋体" w:cs="宋体"/>
                <w:b/>
                <w:bCs/>
                <w:i w:val="0"/>
                <w:iCs w:val="0"/>
                <w:color w:val="000000"/>
                <w:kern w:val="0"/>
                <w:sz w:val="21"/>
                <w:szCs w:val="21"/>
                <w:highlight w:val="none"/>
                <w:u w:val="none"/>
                <w:lang w:val="en-US" w:eastAsia="zh-CN" w:bidi="ar"/>
              </w:rPr>
              <w:t>升</w:t>
            </w:r>
            <w:r>
              <w:rPr>
                <w:rFonts w:hint="eastAsia" w:ascii="宋体" w:hAnsi="宋体" w:eastAsia="宋体" w:cs="宋体"/>
                <w:b/>
                <w:bCs/>
                <w:i w:val="0"/>
                <w:iCs w:val="0"/>
                <w:color w:val="000000"/>
                <w:kern w:val="0"/>
                <w:sz w:val="21"/>
                <w:szCs w:val="21"/>
                <w:highlight w:val="none"/>
                <w:u w:val="none"/>
                <w:lang w:val="en-US" w:eastAsia="zh-CN" w:bidi="ar"/>
              </w:rPr>
              <w:t>复习效率</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15:40-15:50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15:50-16:20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职教高考数字化教学整体解决方案</w:t>
            </w:r>
          </w:p>
        </w:tc>
        <w:tc>
          <w:tcPr>
            <w:tcW w:w="2190" w:type="dxa"/>
            <w:vMerge w:val="continue"/>
            <w:tcBorders>
              <w:left w:val="single" w:color="auto" w:sz="4" w:space="0"/>
              <w:bottom w:val="single" w:color="000000"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20" w:hRule="atLeast"/>
        </w:trPr>
        <w:tc>
          <w:tcPr>
            <w:tcW w:w="1080" w:type="dxa"/>
            <w:vMerge w:val="restart"/>
            <w:tcBorders>
              <w:top w:val="single" w:color="auto" w:sz="4" w:space="0"/>
              <w:bottom w:val="single" w:color="auto" w:sz="4" w:space="0"/>
              <w:right w:val="single" w:color="auto"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highlight w:val="none"/>
              </w:rPr>
              <w:t>数学会场</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13:30-14:30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专家报告：疫情当下，职教高考复习数学学科备考策略</w:t>
            </w:r>
          </w:p>
        </w:tc>
        <w:tc>
          <w:tcPr>
            <w:tcW w:w="2190" w:type="dxa"/>
            <w:vMerge w:val="restart"/>
            <w:tcBorders>
              <w:top w:val="single" w:color="000000" w:sz="4" w:space="0"/>
              <w:left w:val="single" w:color="auto" w:sz="4" w:space="0"/>
            </w:tcBorders>
            <w:vAlign w:val="center"/>
          </w:tcPr>
          <w:p>
            <w:pPr>
              <w:autoSpaceDE w:val="0"/>
              <w:spacing w:line="480" w:lineRule="exact"/>
              <w:jc w:val="center"/>
              <w:rPr>
                <w:rFonts w:ascii="宋体" w:hAnsi="宋体"/>
                <w:b/>
                <w:color w:val="000000"/>
                <w:highlight w:val="none"/>
              </w:rPr>
            </w:pPr>
            <w:r>
              <w:rPr>
                <w:rFonts w:hint="eastAsia" w:ascii="宋体" w:hAnsi="宋体"/>
                <w:b/>
                <w:color w:val="000000"/>
                <w:highlight w:val="none"/>
              </w:rPr>
              <w:t>数学教师、教研组长，负责数学的教学领导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14:30-14:40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14:40-15:40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专家分享：数学学科职教高考科学高效备考——如何提</w:t>
            </w:r>
            <w:r>
              <w:rPr>
                <w:rFonts w:hint="eastAsia" w:ascii="宋体" w:hAnsi="宋体" w:cs="宋体"/>
                <w:b/>
                <w:bCs/>
                <w:i w:val="0"/>
                <w:iCs w:val="0"/>
                <w:color w:val="000000"/>
                <w:kern w:val="0"/>
                <w:sz w:val="21"/>
                <w:szCs w:val="21"/>
                <w:highlight w:val="none"/>
                <w:u w:val="none"/>
                <w:lang w:val="en-US" w:eastAsia="zh-CN" w:bidi="ar"/>
              </w:rPr>
              <w:t>高</w:t>
            </w:r>
            <w:r>
              <w:rPr>
                <w:rFonts w:hint="eastAsia" w:ascii="宋体" w:hAnsi="宋体" w:eastAsia="宋体" w:cs="宋体"/>
                <w:b/>
                <w:bCs/>
                <w:i w:val="0"/>
                <w:iCs w:val="0"/>
                <w:color w:val="000000"/>
                <w:kern w:val="0"/>
                <w:sz w:val="21"/>
                <w:szCs w:val="21"/>
                <w:highlight w:val="none"/>
                <w:u w:val="none"/>
                <w:lang w:val="en-US" w:eastAsia="zh-CN" w:bidi="ar"/>
              </w:rPr>
              <w:t>复习质量，如何提</w:t>
            </w:r>
            <w:r>
              <w:rPr>
                <w:rFonts w:hint="eastAsia" w:ascii="宋体" w:hAnsi="宋体" w:cs="宋体"/>
                <w:b/>
                <w:bCs/>
                <w:i w:val="0"/>
                <w:iCs w:val="0"/>
                <w:color w:val="000000"/>
                <w:kern w:val="0"/>
                <w:sz w:val="21"/>
                <w:szCs w:val="21"/>
                <w:highlight w:val="none"/>
                <w:u w:val="none"/>
                <w:lang w:val="en-US" w:eastAsia="zh-CN" w:bidi="ar"/>
              </w:rPr>
              <w:t>升</w:t>
            </w:r>
            <w:r>
              <w:rPr>
                <w:rFonts w:hint="eastAsia" w:ascii="宋体" w:hAnsi="宋体" w:eastAsia="宋体" w:cs="宋体"/>
                <w:b/>
                <w:bCs/>
                <w:i w:val="0"/>
                <w:iCs w:val="0"/>
                <w:color w:val="000000"/>
                <w:kern w:val="0"/>
                <w:sz w:val="21"/>
                <w:szCs w:val="21"/>
                <w:highlight w:val="none"/>
                <w:u w:val="none"/>
                <w:lang w:val="en-US" w:eastAsia="zh-CN" w:bidi="ar"/>
              </w:rPr>
              <w:t>复习效率</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15:40-15:50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15:50-16:20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职教高考数字化教学整体解决方案</w:t>
            </w:r>
          </w:p>
        </w:tc>
        <w:tc>
          <w:tcPr>
            <w:tcW w:w="2190" w:type="dxa"/>
            <w:vMerge w:val="continue"/>
            <w:tcBorders>
              <w:left w:val="single" w:color="auto" w:sz="4" w:space="0"/>
              <w:bottom w:val="single" w:color="000000"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restart"/>
            <w:tcBorders>
              <w:top w:val="single" w:color="auto" w:sz="4" w:space="0"/>
              <w:bottom w:val="single" w:color="auto" w:sz="4" w:space="0"/>
              <w:right w:val="single" w:color="auto" w:sz="4" w:space="0"/>
            </w:tcBorders>
            <w:vAlign w:val="center"/>
          </w:tcPr>
          <w:p>
            <w:pPr>
              <w:widowControl/>
              <w:autoSpaceDE w:val="0"/>
              <w:spacing w:line="480" w:lineRule="exact"/>
              <w:jc w:val="center"/>
              <w:textAlignment w:val="center"/>
              <w:rPr>
                <w:rFonts w:ascii="宋体" w:hAnsi="宋体"/>
                <w:b/>
                <w:color w:val="000000"/>
                <w:highlight w:val="none"/>
              </w:rPr>
            </w:pPr>
            <w:r>
              <w:rPr>
                <w:rFonts w:hint="eastAsia" w:ascii="宋体" w:hAnsi="宋体"/>
                <w:b/>
                <w:color w:val="000000"/>
                <w:highlight w:val="none"/>
              </w:rPr>
              <w:t>英语会场</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13:30-14:30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专家报告：疫情当下，职教高考复习英语学科备考策略</w:t>
            </w:r>
          </w:p>
        </w:tc>
        <w:tc>
          <w:tcPr>
            <w:tcW w:w="2190" w:type="dxa"/>
            <w:vMerge w:val="restart"/>
            <w:tcBorders>
              <w:top w:val="single" w:color="000000" w:sz="4" w:space="0"/>
              <w:left w:val="single" w:color="auto" w:sz="4" w:space="0"/>
            </w:tcBorders>
            <w:vAlign w:val="center"/>
          </w:tcPr>
          <w:p>
            <w:pPr>
              <w:autoSpaceDE w:val="0"/>
              <w:spacing w:line="480" w:lineRule="exact"/>
              <w:jc w:val="center"/>
              <w:rPr>
                <w:rFonts w:hint="eastAsia" w:ascii="宋体" w:hAnsi="宋体"/>
                <w:b/>
                <w:color w:val="000000"/>
                <w:highlight w:val="none"/>
              </w:rPr>
            </w:pPr>
          </w:p>
          <w:p>
            <w:pPr>
              <w:autoSpaceDE w:val="0"/>
              <w:spacing w:line="480" w:lineRule="exact"/>
              <w:jc w:val="center"/>
              <w:rPr>
                <w:rFonts w:ascii="宋体" w:hAnsi="宋体"/>
                <w:b/>
                <w:color w:val="000000"/>
                <w:highlight w:val="none"/>
              </w:rPr>
            </w:pPr>
            <w:r>
              <w:rPr>
                <w:rFonts w:hint="eastAsia" w:ascii="宋体" w:hAnsi="宋体"/>
                <w:b/>
                <w:color w:val="000000"/>
                <w:highlight w:val="none"/>
              </w:rPr>
              <w:t>英语教师、教研组长，负责英语的教学领导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14:30-14:40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14:40-15:40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专家分享：英语学科职教高考科学高效备考——如何提</w:t>
            </w:r>
            <w:r>
              <w:rPr>
                <w:rFonts w:hint="eastAsia" w:ascii="宋体" w:hAnsi="宋体" w:cs="宋体"/>
                <w:b/>
                <w:bCs/>
                <w:i w:val="0"/>
                <w:iCs w:val="0"/>
                <w:color w:val="000000"/>
                <w:kern w:val="0"/>
                <w:sz w:val="21"/>
                <w:szCs w:val="21"/>
                <w:u w:val="none"/>
                <w:lang w:val="en-US" w:eastAsia="zh-CN" w:bidi="ar"/>
              </w:rPr>
              <w:t>高</w:t>
            </w:r>
            <w:r>
              <w:rPr>
                <w:rFonts w:hint="eastAsia" w:ascii="宋体" w:hAnsi="宋体" w:eastAsia="宋体" w:cs="宋体"/>
                <w:b/>
                <w:bCs/>
                <w:i w:val="0"/>
                <w:iCs w:val="0"/>
                <w:color w:val="000000"/>
                <w:kern w:val="0"/>
                <w:sz w:val="21"/>
                <w:szCs w:val="21"/>
                <w:u w:val="none"/>
                <w:lang w:val="en-US" w:eastAsia="zh-CN" w:bidi="ar"/>
              </w:rPr>
              <w:t>复习质量，如何提</w:t>
            </w:r>
            <w:r>
              <w:rPr>
                <w:rFonts w:hint="eastAsia" w:ascii="宋体" w:hAnsi="宋体" w:cs="宋体"/>
                <w:b/>
                <w:bCs/>
                <w:i w:val="0"/>
                <w:iCs w:val="0"/>
                <w:color w:val="000000"/>
                <w:kern w:val="0"/>
                <w:sz w:val="21"/>
                <w:szCs w:val="21"/>
                <w:u w:val="none"/>
                <w:lang w:val="en-US" w:eastAsia="zh-CN" w:bidi="ar"/>
              </w:rPr>
              <w:t>升</w:t>
            </w:r>
            <w:r>
              <w:rPr>
                <w:rFonts w:hint="eastAsia" w:ascii="宋体" w:hAnsi="宋体" w:eastAsia="宋体" w:cs="宋体"/>
                <w:b/>
                <w:bCs/>
                <w:i w:val="0"/>
                <w:iCs w:val="0"/>
                <w:color w:val="000000"/>
                <w:kern w:val="0"/>
                <w:sz w:val="21"/>
                <w:szCs w:val="21"/>
                <w:u w:val="none"/>
                <w:lang w:val="en-US" w:eastAsia="zh-CN" w:bidi="ar"/>
              </w:rPr>
              <w:t>复习效率</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bottom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15:40-15:50</w:t>
            </w:r>
          </w:p>
        </w:tc>
        <w:tc>
          <w:tcPr>
            <w:tcW w:w="3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互动交流</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1080" w:type="dxa"/>
            <w:vMerge w:val="continue"/>
            <w:tcBorders>
              <w:top w:val="single" w:color="auto" w:sz="4" w:space="0"/>
              <w:right w:val="single" w:color="auto" w:sz="4" w:space="0"/>
            </w:tcBorders>
            <w:vAlign w:val="center"/>
          </w:tcPr>
          <w:p>
            <w:pPr>
              <w:widowControl/>
              <w:jc w:val="left"/>
              <w:rPr>
                <w:rFonts w:ascii="宋体" w:hAnsi="宋体"/>
                <w:b/>
                <w:color w:val="000000"/>
                <w:szCs w:val="21"/>
                <w:highlight w:val="none"/>
              </w:rPr>
            </w:pPr>
          </w:p>
        </w:tc>
        <w:tc>
          <w:tcPr>
            <w:tcW w:w="17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highlight w:val="none"/>
              </w:rPr>
            </w:pPr>
            <w:r>
              <w:rPr>
                <w:rFonts w:hint="eastAsia" w:ascii="宋体" w:hAnsi="宋体" w:eastAsia="宋体" w:cs="宋体"/>
                <w:b/>
                <w:bCs/>
                <w:i w:val="0"/>
                <w:iCs w:val="0"/>
                <w:color w:val="000000"/>
                <w:kern w:val="0"/>
                <w:sz w:val="21"/>
                <w:szCs w:val="21"/>
                <w:u w:val="none"/>
                <w:lang w:val="en-US" w:eastAsia="zh-CN" w:bidi="ar"/>
              </w:rPr>
              <w:t>15:50-16:20</w:t>
            </w:r>
          </w:p>
        </w:tc>
        <w:tc>
          <w:tcPr>
            <w:tcW w:w="364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b/>
                <w:color w:val="000000"/>
                <w:highlight w:val="none"/>
              </w:rPr>
            </w:pPr>
            <w:r>
              <w:rPr>
                <w:rFonts w:hint="eastAsia" w:ascii="宋体" w:hAnsi="宋体" w:eastAsia="宋体" w:cs="宋体"/>
                <w:b/>
                <w:bCs/>
                <w:i w:val="0"/>
                <w:iCs w:val="0"/>
                <w:color w:val="000000"/>
                <w:kern w:val="0"/>
                <w:sz w:val="21"/>
                <w:szCs w:val="21"/>
                <w:u w:val="none"/>
                <w:lang w:val="en-US" w:eastAsia="zh-CN" w:bidi="ar"/>
              </w:rPr>
              <w:t>职教高考数字化教学整体解决方案</w:t>
            </w:r>
          </w:p>
        </w:tc>
        <w:tc>
          <w:tcPr>
            <w:tcW w:w="2190" w:type="dxa"/>
            <w:vMerge w:val="continue"/>
            <w:tcBorders>
              <w:left w:val="single" w:color="auto" w:sz="4" w:space="0"/>
            </w:tcBorders>
            <w:vAlign w:val="center"/>
          </w:tcPr>
          <w:p>
            <w:pPr>
              <w:autoSpaceDE w:val="0"/>
              <w:spacing w:line="480" w:lineRule="exact"/>
              <w:jc w:val="center"/>
              <w:rPr>
                <w:rFonts w:ascii="宋体" w:hAnsi="宋体"/>
                <w:b/>
                <w:color w:val="000000"/>
                <w:highlight w:val="none"/>
              </w:rPr>
            </w:pPr>
          </w:p>
        </w:tc>
      </w:tr>
    </w:tbl>
    <w:p>
      <w:pPr>
        <w:pStyle w:val="2"/>
        <w:rPr>
          <w:highlight w:val="none"/>
        </w:rPr>
      </w:pPr>
    </w:p>
    <w:p>
      <w:pPr>
        <w:pStyle w:val="13"/>
        <w:numPr>
          <w:ilvl w:val="0"/>
          <w:numId w:val="2"/>
        </w:numPr>
        <w:spacing w:line="560" w:lineRule="exact"/>
        <w:ind w:firstLineChars="0"/>
        <w:rPr>
          <w:rFonts w:ascii="方正黑体_GBK" w:hAnsi="方正黑体_GBK" w:eastAsia="方正黑体_GBK" w:cs="方正黑体_GBK"/>
          <w:b/>
          <w:bCs/>
          <w:szCs w:val="21"/>
          <w:highlight w:val="none"/>
        </w:rPr>
      </w:pPr>
      <w:r>
        <w:rPr>
          <w:rFonts w:hint="eastAsia" w:ascii="方正黑体_GBK" w:hAnsi="方正黑体_GBK" w:eastAsia="方正黑体_GBK" w:cs="方正黑体_GBK"/>
          <w:b/>
          <w:bCs/>
          <w:szCs w:val="21"/>
          <w:highlight w:val="none"/>
        </w:rPr>
        <w:t>参会流程</w:t>
      </w:r>
    </w:p>
    <w:p>
      <w:pPr>
        <w:pStyle w:val="2"/>
        <w:numPr>
          <w:ilvl w:val="0"/>
          <w:numId w:val="3"/>
        </w:numPr>
        <w:spacing w:line="360" w:lineRule="auto"/>
        <w:ind w:left="317"/>
        <w:rPr>
          <w:highlight w:val="none"/>
        </w:rPr>
      </w:pPr>
      <w:r>
        <w:rPr>
          <w:rFonts w:hint="eastAsia"/>
          <w:highlight w:val="none"/>
        </w:rPr>
        <w:t>线上报名：请参会老师在电脑桌面下载“腾讯会议”客户端，</w:t>
      </w:r>
      <w:r>
        <w:rPr>
          <w:rFonts w:hint="eastAsia"/>
          <w:b/>
          <w:bCs/>
          <w:highlight w:val="none"/>
        </w:rPr>
        <w:t>会议前</w:t>
      </w:r>
      <w:r>
        <w:rPr>
          <w:rFonts w:hint="eastAsia"/>
          <w:b/>
          <w:bCs/>
          <w:highlight w:val="none"/>
          <w:lang w:val="en-US" w:eastAsia="zh-CN"/>
        </w:rPr>
        <w:t>三天</w:t>
      </w:r>
      <w:r>
        <w:rPr>
          <w:rFonts w:hint="eastAsia"/>
          <w:highlight w:val="none"/>
        </w:rPr>
        <w:t>打开“腾讯会议”（桌面图标为</w:t>
      </w:r>
      <w:r>
        <w:rPr>
          <w:highlight w:val="none"/>
        </w:rPr>
        <w:drawing>
          <wp:inline distT="0" distB="0" distL="114300" distR="114300">
            <wp:extent cx="233680" cy="264160"/>
            <wp:effectExtent l="0" t="0" r="762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33680" cy="264160"/>
                    </a:xfrm>
                    <a:prstGeom prst="rect">
                      <a:avLst/>
                    </a:prstGeom>
                    <a:noFill/>
                    <a:ln>
                      <a:noFill/>
                    </a:ln>
                  </pic:spPr>
                </pic:pic>
              </a:graphicData>
            </a:graphic>
          </wp:inline>
        </w:drawing>
      </w:r>
      <w:r>
        <w:rPr>
          <w:rFonts w:hint="eastAsia"/>
          <w:highlight w:val="none"/>
        </w:rPr>
        <w:t>），点击加入会议（</w:t>
      </w:r>
      <w:r>
        <w:rPr>
          <w:highlight w:val="none"/>
        </w:rPr>
        <w:drawing>
          <wp:inline distT="0" distB="0" distL="114300" distR="114300">
            <wp:extent cx="1124585" cy="375285"/>
            <wp:effectExtent l="0" t="0" r="571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124585" cy="375285"/>
                    </a:xfrm>
                    <a:prstGeom prst="rect">
                      <a:avLst/>
                    </a:prstGeom>
                    <a:noFill/>
                    <a:ln>
                      <a:noFill/>
                    </a:ln>
                  </pic:spPr>
                </pic:pic>
              </a:graphicData>
            </a:graphic>
          </wp:inline>
        </w:drawing>
      </w:r>
      <w:r>
        <w:rPr>
          <w:rFonts w:hint="eastAsia"/>
          <w:highlight w:val="none"/>
        </w:rPr>
        <w:t>）按钮后输入腾讯会议号和密码或者下面相应会场的二维码进行报名。</w:t>
      </w:r>
      <w:r>
        <w:rPr>
          <w:rFonts w:hint="eastAsia"/>
          <w:highlight w:val="none"/>
          <w:lang w:val="en-US" w:eastAsia="zh-CN"/>
        </w:rPr>
        <w:t>四川省</w:t>
      </w:r>
      <w:r>
        <w:rPr>
          <w:rFonts w:hint="eastAsia"/>
          <w:highlight w:val="none"/>
        </w:rPr>
        <w:t>语文、数学、英语学科报名截止时间</w:t>
      </w:r>
      <w:r>
        <w:rPr>
          <w:rFonts w:hint="eastAsia"/>
          <w:highlight w:val="none"/>
          <w:lang w:val="en-US" w:eastAsia="zh-CN"/>
        </w:rPr>
        <w:t>5</w:t>
      </w:r>
      <w:r>
        <w:rPr>
          <w:rFonts w:hint="eastAsia"/>
          <w:highlight w:val="none"/>
        </w:rPr>
        <w:t>月</w:t>
      </w:r>
      <w:r>
        <w:rPr>
          <w:rFonts w:hint="eastAsia"/>
          <w:highlight w:val="none"/>
          <w:lang w:val="en-US" w:eastAsia="zh-CN"/>
        </w:rPr>
        <w:t>23</w:t>
      </w:r>
      <w:r>
        <w:rPr>
          <w:rFonts w:hint="eastAsia"/>
          <w:highlight w:val="none"/>
        </w:rPr>
        <w:t>日1</w:t>
      </w:r>
      <w:r>
        <w:rPr>
          <w:highlight w:val="none"/>
        </w:rPr>
        <w:t>5</w:t>
      </w:r>
      <w:r>
        <w:rPr>
          <w:rFonts w:hint="eastAsia"/>
          <w:highlight w:val="none"/>
        </w:rPr>
        <w:t>点</w:t>
      </w:r>
      <w:r>
        <w:rPr>
          <w:rFonts w:hint="eastAsia"/>
          <w:highlight w:val="none"/>
          <w:lang w:eastAsia="zh-CN"/>
        </w:rPr>
        <w:t>，</w:t>
      </w:r>
      <w:r>
        <w:rPr>
          <w:rFonts w:hint="eastAsia"/>
          <w:highlight w:val="none"/>
          <w:lang w:val="en-US" w:eastAsia="zh-CN"/>
        </w:rPr>
        <w:t>湖北省</w:t>
      </w:r>
      <w:r>
        <w:rPr>
          <w:rFonts w:hint="eastAsia"/>
          <w:highlight w:val="none"/>
        </w:rPr>
        <w:t>语文、数学、英语学科报名截止时间</w:t>
      </w:r>
      <w:r>
        <w:rPr>
          <w:rFonts w:hint="eastAsia"/>
          <w:highlight w:val="none"/>
          <w:lang w:val="en-US" w:eastAsia="zh-CN"/>
        </w:rPr>
        <w:t>5</w:t>
      </w:r>
      <w:r>
        <w:rPr>
          <w:rFonts w:hint="eastAsia"/>
          <w:highlight w:val="none"/>
        </w:rPr>
        <w:t>月</w:t>
      </w:r>
      <w:r>
        <w:rPr>
          <w:rFonts w:hint="eastAsia"/>
          <w:highlight w:val="none"/>
          <w:lang w:val="en-US" w:eastAsia="zh-CN"/>
        </w:rPr>
        <w:t>24</w:t>
      </w:r>
      <w:r>
        <w:rPr>
          <w:rFonts w:hint="eastAsia"/>
          <w:highlight w:val="none"/>
        </w:rPr>
        <w:t>日1</w:t>
      </w:r>
      <w:r>
        <w:rPr>
          <w:highlight w:val="none"/>
        </w:rPr>
        <w:t>5</w:t>
      </w:r>
      <w:r>
        <w:rPr>
          <w:rFonts w:hint="eastAsia"/>
          <w:highlight w:val="none"/>
        </w:rPr>
        <w:t xml:space="preserve">点   </w:t>
      </w:r>
    </w:p>
    <w:p>
      <w:pPr>
        <w:pStyle w:val="2"/>
        <w:spacing w:line="360" w:lineRule="auto"/>
        <w:ind w:firstLine="420" w:firstLineChars="200"/>
        <w:rPr>
          <w:highlight w:val="none"/>
        </w:rPr>
      </w:pPr>
      <w:r>
        <w:rPr>
          <w:rFonts w:hint="eastAsia"/>
          <w:highlight w:val="none"/>
        </w:rPr>
        <w:t>2.参会：会议正式开始前15分钟打开“腾讯会议”，点击加入会议按钮后输入腾讯会议号和密码进入会场。</w:t>
      </w:r>
    </w:p>
    <w:p>
      <w:pPr>
        <w:pStyle w:val="2"/>
        <w:spacing w:line="360" w:lineRule="auto"/>
        <w:ind w:firstLine="420" w:firstLineChars="200"/>
        <w:jc w:val="left"/>
        <w:rPr>
          <w:highlight w:val="none"/>
        </w:rPr>
      </w:pPr>
      <w:r>
        <w:rPr>
          <w:rFonts w:hint="eastAsia"/>
          <w:highlight w:val="none"/>
        </w:rPr>
        <w:t>3.互动或答疑环节：会议若有互动或答疑环节，双击腾讯视频【聊天】界面进入，如下图，输入想要交流的问题（或点击屏幕下方“举手”按钮发言）。</w:t>
      </w:r>
    </w:p>
    <w:p>
      <w:pPr>
        <w:pStyle w:val="2"/>
        <w:spacing w:line="360" w:lineRule="auto"/>
        <w:ind w:left="315"/>
        <w:rPr>
          <w:highlight w:val="none"/>
        </w:rPr>
      </w:pPr>
      <w:r>
        <w:rPr>
          <w:highlight w:val="none"/>
        </w:rPr>
        <w:drawing>
          <wp:inline distT="0" distB="0" distL="114300" distR="114300">
            <wp:extent cx="5115560" cy="346075"/>
            <wp:effectExtent l="0" t="0" r="254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115560" cy="346075"/>
                    </a:xfrm>
                    <a:prstGeom prst="rect">
                      <a:avLst/>
                    </a:prstGeom>
                    <a:noFill/>
                    <a:ln>
                      <a:noFill/>
                    </a:ln>
                  </pic:spPr>
                </pic:pic>
              </a:graphicData>
            </a:graphic>
          </wp:inline>
        </w:drawing>
      </w:r>
      <w:r>
        <w:rPr>
          <w:rFonts w:hint="eastAsia"/>
          <w:highlight w:val="none"/>
        </w:rPr>
        <w:t>，</w:t>
      </w:r>
    </w:p>
    <w:p>
      <w:pPr>
        <w:pStyle w:val="2"/>
        <w:spacing w:line="360" w:lineRule="auto"/>
        <w:ind w:left="315"/>
        <w:rPr>
          <w:highlight w:val="none"/>
        </w:rPr>
      </w:pPr>
      <w:r>
        <w:rPr>
          <w:highlight w:val="none"/>
        </w:rPr>
        <w:drawing>
          <wp:inline distT="0" distB="0" distL="114300" distR="114300">
            <wp:extent cx="4733925" cy="1308100"/>
            <wp:effectExtent l="0" t="0" r="317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8"/>
                    <a:stretch>
                      <a:fillRect/>
                    </a:stretch>
                  </pic:blipFill>
                  <pic:spPr>
                    <a:xfrm>
                      <a:off x="0" y="0"/>
                      <a:ext cx="4733925" cy="1308100"/>
                    </a:xfrm>
                    <a:prstGeom prst="rect">
                      <a:avLst/>
                    </a:prstGeom>
                    <a:noFill/>
                    <a:ln>
                      <a:noFill/>
                    </a:ln>
                  </pic:spPr>
                </pic:pic>
              </a:graphicData>
            </a:graphic>
          </wp:inline>
        </w:drawing>
      </w:r>
    </w:p>
    <w:p>
      <w:pPr>
        <w:spacing w:line="560" w:lineRule="exact"/>
        <w:jc w:val="left"/>
        <w:rPr>
          <w:rFonts w:ascii="方正黑体_GBK" w:hAnsi="方正黑体_GBK" w:eastAsia="方正黑体_GBK" w:cs="方正黑体_GBK"/>
          <w:b/>
          <w:bCs/>
          <w:szCs w:val="21"/>
          <w:highlight w:val="none"/>
        </w:rPr>
      </w:pPr>
      <w:r>
        <w:rPr>
          <w:rFonts w:hint="eastAsia" w:ascii="方正黑体_GBK" w:hAnsi="方正黑体_GBK" w:eastAsia="方正黑体_GBK" w:cs="方正黑体_GBK"/>
          <w:b/>
          <w:bCs/>
          <w:szCs w:val="21"/>
          <w:highlight w:val="none"/>
        </w:rPr>
        <w:t>五、注意事项</w:t>
      </w:r>
    </w:p>
    <w:p>
      <w:pPr>
        <w:pStyle w:val="2"/>
        <w:spacing w:line="360" w:lineRule="auto"/>
        <w:ind w:firstLine="420" w:firstLineChars="200"/>
        <w:rPr>
          <w:highlight w:val="none"/>
        </w:rPr>
      </w:pPr>
      <w:r>
        <w:rPr>
          <w:rFonts w:hint="eastAsia"/>
          <w:highlight w:val="none"/>
        </w:rPr>
        <w:t>1</w:t>
      </w:r>
      <w:r>
        <w:rPr>
          <w:highlight w:val="none"/>
        </w:rPr>
        <w:t>.</w:t>
      </w:r>
      <w:r>
        <w:rPr>
          <w:rFonts w:hint="eastAsia"/>
          <w:highlight w:val="none"/>
        </w:rPr>
        <w:t>为营造良好的会议效果和教研氛围，进入会议后，除互动或答疑环节需要发言时开启视屏和音频，其他时段请将视屏和音频关闭。</w:t>
      </w:r>
    </w:p>
    <w:p>
      <w:pPr>
        <w:pStyle w:val="2"/>
        <w:spacing w:line="360" w:lineRule="auto"/>
        <w:ind w:firstLine="420" w:firstLineChars="200"/>
        <w:rPr>
          <w:highlight w:val="none"/>
        </w:rPr>
      </w:pPr>
      <w:r>
        <w:rPr>
          <w:rFonts w:hint="eastAsia"/>
          <w:highlight w:val="none"/>
        </w:rPr>
        <w:t>2.每位参会人员要认真填写附件中的参会表格信息，微信昵称与电话号码一定要匹配，否则将会影响参会人员的审核工作。审核通过后，参会人员才能进入直播室参与会议的研讨和交流。</w:t>
      </w:r>
    </w:p>
    <w:p>
      <w:pPr>
        <w:spacing w:line="560" w:lineRule="exact"/>
        <w:jc w:val="left"/>
        <w:rPr>
          <w:rFonts w:ascii="方正黑体_GBK" w:hAnsi="方正黑体_GBK" w:eastAsia="方正黑体_GBK" w:cs="方正黑体_GBK"/>
          <w:b/>
          <w:bCs/>
          <w:szCs w:val="21"/>
          <w:highlight w:val="none"/>
        </w:rPr>
      </w:pPr>
      <w:r>
        <w:rPr>
          <w:rFonts w:hint="eastAsia" w:ascii="方正黑体_GBK" w:hAnsi="方正黑体_GBK" w:eastAsia="方正黑体_GBK" w:cs="方正黑体_GBK"/>
          <w:b/>
          <w:bCs/>
          <w:szCs w:val="21"/>
          <w:highlight w:val="none"/>
        </w:rPr>
        <w:t>六、报名及联系人</w:t>
      </w:r>
    </w:p>
    <w:p>
      <w:pPr>
        <w:spacing w:line="560" w:lineRule="exact"/>
        <w:ind w:firstLine="420"/>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1.报名参会回执请发 zzbsh@bncz365.com会议邮箱。</w:t>
      </w:r>
    </w:p>
    <w:p>
      <w:pPr>
        <w:pStyle w:val="2"/>
        <w:spacing w:after="0" w:line="56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w:t>
      </w:r>
      <w:r>
        <w:rPr>
          <w:rFonts w:hint="eastAsia" w:ascii="Times New Roman" w:hAnsi="Times New Roman" w:eastAsia="宋体" w:cs="Times New Roman"/>
          <w:kern w:val="2"/>
          <w:sz w:val="21"/>
          <w:szCs w:val="24"/>
          <w:highlight w:val="none"/>
          <w:lang w:val="en-US" w:eastAsia="zh-CN" w:bidi="ar-SA"/>
        </w:rPr>
        <w:t>联系人：殷老师，报名电话：021-31235436</w:t>
      </w:r>
    </w:p>
    <w:p>
      <w:pPr>
        <w:pStyle w:val="2"/>
        <w:spacing w:after="0" w:line="56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备注：</w:t>
      </w:r>
      <w:r>
        <w:rPr>
          <w:rFonts w:hint="eastAsia" w:cs="Times New Roman"/>
          <w:kern w:val="2"/>
          <w:sz w:val="21"/>
          <w:szCs w:val="24"/>
          <w:highlight w:val="none"/>
          <w:lang w:val="en-US" w:eastAsia="zh-CN" w:bidi="ar-SA"/>
        </w:rPr>
        <w:t>四川</w:t>
      </w:r>
      <w:r>
        <w:rPr>
          <w:rFonts w:hint="eastAsia" w:ascii="Times New Roman" w:hAnsi="Times New Roman" w:eastAsia="宋体" w:cs="Times New Roman"/>
          <w:kern w:val="2"/>
          <w:sz w:val="21"/>
          <w:szCs w:val="24"/>
          <w:highlight w:val="none"/>
          <w:lang w:val="en-US" w:eastAsia="zh-CN" w:bidi="ar-SA"/>
        </w:rPr>
        <w:t>省学科会场参会回执请于</w:t>
      </w:r>
      <w:r>
        <w:rPr>
          <w:rFonts w:hint="eastAsia" w:cs="Times New Roman"/>
          <w:kern w:val="2"/>
          <w:sz w:val="21"/>
          <w:szCs w:val="24"/>
          <w:highlight w:val="none"/>
          <w:lang w:val="en-US" w:eastAsia="zh-CN" w:bidi="ar-SA"/>
        </w:rPr>
        <w:t>5</w:t>
      </w:r>
      <w:r>
        <w:rPr>
          <w:rFonts w:hint="eastAsia" w:ascii="Times New Roman" w:hAnsi="Times New Roman" w:eastAsia="宋体" w:cs="Times New Roman"/>
          <w:kern w:val="2"/>
          <w:sz w:val="21"/>
          <w:szCs w:val="24"/>
          <w:highlight w:val="none"/>
          <w:lang w:val="en-US" w:eastAsia="zh-CN" w:bidi="ar-SA"/>
        </w:rPr>
        <w:t>月2</w:t>
      </w:r>
      <w:r>
        <w:rPr>
          <w:rFonts w:hint="eastAsia" w:cs="Times New Roman"/>
          <w:kern w:val="2"/>
          <w:sz w:val="21"/>
          <w:szCs w:val="24"/>
          <w:highlight w:val="none"/>
          <w:lang w:val="en-US" w:eastAsia="zh-CN" w:bidi="ar-SA"/>
        </w:rPr>
        <w:t>3</w:t>
      </w:r>
      <w:r>
        <w:rPr>
          <w:rFonts w:hint="eastAsia" w:ascii="Times New Roman" w:hAnsi="Times New Roman" w:eastAsia="宋体" w:cs="Times New Roman"/>
          <w:kern w:val="2"/>
          <w:sz w:val="21"/>
          <w:szCs w:val="24"/>
          <w:highlight w:val="none"/>
          <w:lang w:val="en-US" w:eastAsia="zh-CN" w:bidi="ar-SA"/>
        </w:rPr>
        <w:t>日前返回，</w:t>
      </w:r>
      <w:r>
        <w:rPr>
          <w:rFonts w:hint="eastAsia" w:cs="Times New Roman"/>
          <w:kern w:val="2"/>
          <w:sz w:val="21"/>
          <w:szCs w:val="24"/>
          <w:highlight w:val="none"/>
          <w:lang w:val="en-US" w:eastAsia="zh-CN" w:bidi="ar-SA"/>
        </w:rPr>
        <w:t>湖北省</w:t>
      </w:r>
      <w:r>
        <w:rPr>
          <w:rFonts w:hint="eastAsia" w:ascii="Times New Roman" w:hAnsi="Times New Roman" w:eastAsia="宋体" w:cs="Times New Roman"/>
          <w:kern w:val="2"/>
          <w:sz w:val="21"/>
          <w:szCs w:val="24"/>
          <w:highlight w:val="none"/>
          <w:lang w:val="en-US" w:eastAsia="zh-CN" w:bidi="ar-SA"/>
        </w:rPr>
        <w:t>学科会场参会回执请于</w:t>
      </w:r>
      <w:r>
        <w:rPr>
          <w:rFonts w:hint="eastAsia" w:cs="Times New Roman"/>
          <w:kern w:val="2"/>
          <w:sz w:val="21"/>
          <w:szCs w:val="24"/>
          <w:highlight w:val="none"/>
          <w:lang w:val="en-US" w:eastAsia="zh-CN" w:bidi="ar-SA"/>
        </w:rPr>
        <w:t>5</w:t>
      </w:r>
      <w:r>
        <w:rPr>
          <w:rFonts w:hint="eastAsia" w:ascii="Times New Roman" w:hAnsi="Times New Roman" w:eastAsia="宋体" w:cs="Times New Roman"/>
          <w:kern w:val="2"/>
          <w:sz w:val="21"/>
          <w:szCs w:val="24"/>
          <w:highlight w:val="none"/>
          <w:lang w:val="en-US" w:eastAsia="zh-CN" w:bidi="ar-SA"/>
        </w:rPr>
        <w:t>月</w:t>
      </w:r>
      <w:r>
        <w:rPr>
          <w:rFonts w:hint="eastAsia" w:cs="Times New Roman"/>
          <w:kern w:val="2"/>
          <w:sz w:val="21"/>
          <w:szCs w:val="24"/>
          <w:highlight w:val="none"/>
          <w:lang w:val="en-US" w:eastAsia="zh-CN" w:bidi="ar-SA"/>
        </w:rPr>
        <w:t>24</w:t>
      </w:r>
      <w:r>
        <w:rPr>
          <w:rFonts w:hint="eastAsia" w:ascii="Times New Roman" w:hAnsi="Times New Roman" w:eastAsia="宋体" w:cs="Times New Roman"/>
          <w:kern w:val="2"/>
          <w:sz w:val="21"/>
          <w:szCs w:val="24"/>
          <w:highlight w:val="none"/>
          <w:lang w:val="en-US" w:eastAsia="zh-CN" w:bidi="ar-SA"/>
        </w:rPr>
        <w:t>日前返回。</w:t>
      </w:r>
    </w:p>
    <w:p>
      <w:pPr>
        <w:pStyle w:val="2"/>
        <w:spacing w:after="0" w:line="560" w:lineRule="exact"/>
        <w:ind w:firstLine="422" w:firstLineChars="200"/>
        <w:jc w:val="right"/>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主办方：上海东方激光教育（集团）文化有限公司</w:t>
      </w:r>
    </w:p>
    <w:p>
      <w:pPr>
        <w:pStyle w:val="2"/>
        <w:spacing w:after="0" w:line="560" w:lineRule="exact"/>
        <w:ind w:firstLine="422" w:firstLineChars="200"/>
        <w:jc w:val="right"/>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2022年</w:t>
      </w:r>
      <w:r>
        <w:rPr>
          <w:rFonts w:hint="eastAsia" w:cs="Times New Roman"/>
          <w:b/>
          <w:bCs/>
          <w:kern w:val="2"/>
          <w:sz w:val="21"/>
          <w:szCs w:val="24"/>
          <w:highlight w:val="none"/>
          <w:lang w:val="en-US" w:eastAsia="zh-CN" w:bidi="ar-SA"/>
        </w:rPr>
        <w:t>5</w:t>
      </w:r>
      <w:r>
        <w:rPr>
          <w:rFonts w:hint="eastAsia" w:ascii="Times New Roman" w:hAnsi="Times New Roman" w:eastAsia="宋体" w:cs="Times New Roman"/>
          <w:b/>
          <w:bCs/>
          <w:kern w:val="2"/>
          <w:sz w:val="21"/>
          <w:szCs w:val="24"/>
          <w:highlight w:val="none"/>
          <w:lang w:val="en-US" w:eastAsia="zh-CN" w:bidi="ar-SA"/>
        </w:rPr>
        <w:t>月1</w:t>
      </w:r>
      <w:r>
        <w:rPr>
          <w:rFonts w:hint="eastAsia" w:cs="Times New Roman"/>
          <w:b/>
          <w:bCs/>
          <w:kern w:val="2"/>
          <w:sz w:val="21"/>
          <w:szCs w:val="24"/>
          <w:highlight w:val="none"/>
          <w:lang w:val="en-US" w:eastAsia="zh-CN" w:bidi="ar-SA"/>
        </w:rPr>
        <w:t>7</w:t>
      </w:r>
      <w:r>
        <w:rPr>
          <w:rFonts w:hint="eastAsia" w:ascii="Times New Roman" w:hAnsi="Times New Roman" w:eastAsia="宋体" w:cs="Times New Roman"/>
          <w:b/>
          <w:bCs/>
          <w:kern w:val="2"/>
          <w:sz w:val="21"/>
          <w:szCs w:val="24"/>
          <w:highlight w:val="none"/>
          <w:lang w:val="en-US" w:eastAsia="zh-CN" w:bidi="ar-SA"/>
        </w:rPr>
        <w:t>日</w:t>
      </w:r>
    </w:p>
    <w:p>
      <w:pPr>
        <w:pStyle w:val="2"/>
        <w:spacing w:after="0" w:line="560" w:lineRule="exact"/>
        <w:ind w:firstLine="422" w:firstLineChars="200"/>
        <w:rPr>
          <w:rFonts w:hint="eastAsia" w:ascii="宋体" w:hAnsi="宋体" w:cs="宋体"/>
          <w:b/>
          <w:bCs/>
          <w:szCs w:val="21"/>
          <w:highlight w:val="none"/>
        </w:rPr>
      </w:pPr>
    </w:p>
    <w:p>
      <w:pPr>
        <w:wordWrap w:val="0"/>
        <w:spacing w:line="560" w:lineRule="exact"/>
        <w:jc w:val="center"/>
        <w:rPr>
          <w:rFonts w:ascii="方正黑体_GBK" w:hAnsi="方正黑体_GBK" w:eastAsia="方正黑体_GBK" w:cs="方正黑体_GBK"/>
          <w:b/>
          <w:bCs/>
          <w:sz w:val="24"/>
          <w:highlight w:val="none"/>
        </w:rPr>
      </w:pPr>
      <w:r>
        <w:rPr>
          <w:rFonts w:hint="eastAsia" w:ascii="楷体" w:hAnsi="楷体" w:eastAsia="楷体" w:cs="楷体"/>
          <w:b/>
          <w:bCs/>
          <w:szCs w:val="21"/>
          <w:highlight w:val="none"/>
        </w:rPr>
        <w:t xml:space="preserve">                          </w:t>
      </w:r>
      <w:r>
        <w:rPr>
          <w:rFonts w:hint="eastAsia" w:ascii="方正黑体_GBK" w:hAnsi="方正黑体_GBK" w:eastAsia="方正黑体_GBK" w:cs="方正黑体_GBK"/>
          <w:b/>
          <w:bCs/>
          <w:sz w:val="24"/>
          <w:highlight w:val="none"/>
        </w:rPr>
        <w:t xml:space="preserve"> </w:t>
      </w:r>
      <w:r>
        <w:rPr>
          <w:rFonts w:ascii="方正黑体_GBK" w:hAnsi="方正黑体_GBK" w:eastAsia="方正黑体_GBK" w:cs="方正黑体_GBK"/>
          <w:b/>
          <w:bCs/>
          <w:sz w:val="24"/>
          <w:highlight w:val="none"/>
        </w:rPr>
        <w:t xml:space="preserve">          </w:t>
      </w:r>
      <w:r>
        <w:rPr>
          <w:rFonts w:hint="eastAsia" w:ascii="方正黑体_GBK" w:hAnsi="方正黑体_GBK" w:eastAsia="方正黑体_GBK" w:cs="方正黑体_GBK"/>
          <w:b/>
          <w:bCs/>
          <w:sz w:val="24"/>
          <w:highlight w:val="none"/>
          <w:lang w:val="en-US" w:eastAsia="zh-CN"/>
        </w:rPr>
        <w:t xml:space="preserve"> </w:t>
      </w:r>
      <w:r>
        <w:rPr>
          <w:rFonts w:hint="eastAsia" w:ascii="方正黑体_GBK" w:hAnsi="方正黑体_GBK" w:eastAsia="方正黑体_GBK" w:cs="方正黑体_GBK"/>
          <w:b/>
          <w:bCs/>
          <w:sz w:val="24"/>
          <w:highlight w:val="none"/>
        </w:rPr>
        <w:t xml:space="preserve"> </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560" w:lineRule="exact"/>
        <w:rPr>
          <w:rFonts w:ascii="方正黑体简体" w:hAnsi="方正黑体简体" w:eastAsia="方正黑体简体" w:cs="方正黑体简体"/>
          <w:b/>
          <w:szCs w:val="21"/>
          <w:highlight w:val="none"/>
        </w:rPr>
      </w:pPr>
      <w:r>
        <w:rPr>
          <w:rFonts w:hint="eastAsia" w:ascii="方正黑体简体" w:hAnsi="方正黑体简体" w:eastAsia="方正黑体简体" w:cs="方正黑体简体"/>
          <w:b/>
          <w:szCs w:val="21"/>
          <w:highlight w:val="none"/>
        </w:rPr>
        <w:t xml:space="preserve">附件： </w:t>
      </w:r>
    </w:p>
    <w:p>
      <w:pPr>
        <w:spacing w:line="560" w:lineRule="exact"/>
        <w:jc w:val="center"/>
        <w:rPr>
          <w:rFonts w:ascii="方正大标宋_GBK" w:hAnsi="方正大标宋_GBK" w:eastAsia="方正大标宋_GBK" w:cs="方正大标宋_GBK"/>
          <w:b/>
          <w:szCs w:val="21"/>
          <w:highlight w:val="none"/>
        </w:rPr>
      </w:pPr>
      <w:r>
        <w:rPr>
          <w:rFonts w:hint="eastAsia" w:ascii="方正大标宋_GBK" w:hAnsi="方正大标宋_GBK" w:eastAsia="方正大标宋_GBK" w:cs="方正大标宋_GBK"/>
          <w:b/>
          <w:szCs w:val="21"/>
          <w:highlight w:val="none"/>
        </w:rPr>
        <w:t>2022年职教工作“提高质量，提升形象”专题研讨会系列之职教高考精准备考线上研讨会</w:t>
      </w:r>
    </w:p>
    <w:p>
      <w:pPr>
        <w:spacing w:line="560" w:lineRule="exact"/>
        <w:jc w:val="center"/>
        <w:rPr>
          <w:rFonts w:ascii="方正大标宋_GBK" w:hAnsi="方正大标宋_GBK" w:eastAsia="方正大标宋_GBK" w:cs="方正大标宋_GBK"/>
          <w:szCs w:val="21"/>
          <w:highlight w:val="none"/>
        </w:rPr>
      </w:pPr>
      <w:r>
        <w:rPr>
          <w:rFonts w:hint="eastAsia" w:ascii="方正大标宋_GBK" w:hAnsi="方正大标宋_GBK" w:eastAsia="方正大标宋_GBK" w:cs="方正大标宋_GBK"/>
          <w:b/>
          <w:szCs w:val="21"/>
          <w:highlight w:val="none"/>
        </w:rPr>
        <w:t>参会报名表</w:t>
      </w:r>
    </w:p>
    <w:tbl>
      <w:tblPr>
        <w:tblStyle w:val="8"/>
        <w:tblW w:w="9121" w:type="dxa"/>
        <w:tblInd w:w="96" w:type="dxa"/>
        <w:tblLayout w:type="fixed"/>
        <w:tblCellMar>
          <w:top w:w="0" w:type="dxa"/>
          <w:left w:w="108" w:type="dxa"/>
          <w:bottom w:w="0" w:type="dxa"/>
          <w:right w:w="108" w:type="dxa"/>
        </w:tblCellMar>
      </w:tblPr>
      <w:tblGrid>
        <w:gridCol w:w="1488"/>
        <w:gridCol w:w="1209"/>
        <w:gridCol w:w="1334"/>
        <w:gridCol w:w="1760"/>
        <w:gridCol w:w="1738"/>
        <w:gridCol w:w="1592"/>
      </w:tblGrid>
      <w:tr>
        <w:tblPrEx>
          <w:tblCellMar>
            <w:top w:w="0" w:type="dxa"/>
            <w:left w:w="108" w:type="dxa"/>
            <w:bottom w:w="0" w:type="dxa"/>
            <w:right w:w="108" w:type="dxa"/>
          </w:tblCellMar>
        </w:tblPrEx>
        <w:trPr>
          <w:trHeight w:val="60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学校名称</w:t>
            </w:r>
          </w:p>
        </w:tc>
        <w:tc>
          <w:tcPr>
            <w:tcW w:w="7633" w:type="dxa"/>
            <w:gridSpan w:val="5"/>
            <w:tcBorders>
              <w:top w:val="single" w:color="000000" w:sz="8" w:space="0"/>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nil"/>
              <w:left w:val="single" w:color="000000" w:sz="8" w:space="0"/>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参会者姓名</w:t>
            </w:r>
          </w:p>
        </w:tc>
        <w:tc>
          <w:tcPr>
            <w:tcW w:w="1209" w:type="dxa"/>
            <w:tcBorders>
              <w:top w:val="nil"/>
              <w:left w:val="nil"/>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学科</w:t>
            </w:r>
          </w:p>
        </w:tc>
        <w:tc>
          <w:tcPr>
            <w:tcW w:w="1334" w:type="dxa"/>
            <w:tcBorders>
              <w:top w:val="single" w:color="000000" w:sz="8" w:space="0"/>
              <w:left w:val="nil"/>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职务</w:t>
            </w:r>
          </w:p>
        </w:tc>
        <w:tc>
          <w:tcPr>
            <w:tcW w:w="1760" w:type="dxa"/>
            <w:tcBorders>
              <w:top w:val="single" w:color="000000" w:sz="8" w:space="0"/>
              <w:left w:val="nil"/>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手机号</w:t>
            </w:r>
          </w:p>
        </w:tc>
        <w:tc>
          <w:tcPr>
            <w:tcW w:w="1738" w:type="dxa"/>
            <w:tcBorders>
              <w:top w:val="single" w:color="000000" w:sz="8" w:space="0"/>
              <w:left w:val="nil"/>
              <w:bottom w:val="single" w:color="000000" w:sz="8" w:space="0"/>
              <w:right w:val="single" w:color="000000" w:sz="8" w:space="0"/>
            </w:tcBorders>
            <w:shd w:val="clear" w:color="auto" w:fill="auto"/>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szCs w:val="21"/>
                <w:highlight w:val="none"/>
              </w:rPr>
              <w:t>微信昵称</w:t>
            </w:r>
          </w:p>
        </w:tc>
        <w:tc>
          <w:tcPr>
            <w:tcW w:w="1592"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560" w:lineRule="exact"/>
              <w:jc w:val="center"/>
              <w:textAlignment w:val="center"/>
              <w:rPr>
                <w:rFonts w:ascii="宋体" w:hAnsi="宋体" w:cs="宋体"/>
                <w:b/>
                <w:bCs/>
                <w:color w:val="000000"/>
                <w:szCs w:val="21"/>
                <w:highlight w:val="none"/>
              </w:rPr>
            </w:pPr>
            <w:r>
              <w:rPr>
                <w:rFonts w:hint="eastAsia" w:ascii="宋体" w:hAnsi="宋体" w:cs="宋体"/>
                <w:b/>
                <w:bCs/>
                <w:color w:val="000000"/>
                <w:szCs w:val="21"/>
                <w:highlight w:val="none"/>
              </w:rPr>
              <w:t>参加会场</w:t>
            </w:r>
          </w:p>
        </w:tc>
      </w:tr>
      <w:tr>
        <w:tblPrEx>
          <w:tblCellMar>
            <w:top w:w="0" w:type="dxa"/>
            <w:left w:w="108" w:type="dxa"/>
            <w:bottom w:w="0" w:type="dxa"/>
            <w:right w:w="108" w:type="dxa"/>
          </w:tblCellMar>
        </w:tblPrEx>
        <w:trPr>
          <w:trHeight w:val="600" w:hRule="atLeast"/>
        </w:trPr>
        <w:tc>
          <w:tcPr>
            <w:tcW w:w="1488"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王**</w:t>
            </w:r>
          </w:p>
        </w:tc>
        <w:tc>
          <w:tcPr>
            <w:tcW w:w="1209"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语文</w:t>
            </w:r>
          </w:p>
        </w:tc>
        <w:tc>
          <w:tcPr>
            <w:tcW w:w="1334"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教研组长</w:t>
            </w:r>
          </w:p>
        </w:tc>
        <w:tc>
          <w:tcPr>
            <w:tcW w:w="1760"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138****4573</w:t>
            </w:r>
          </w:p>
        </w:tc>
        <w:tc>
          <w:tcPr>
            <w:tcW w:w="1738"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海阔天空</w:t>
            </w:r>
          </w:p>
        </w:tc>
        <w:tc>
          <w:tcPr>
            <w:tcW w:w="1592" w:type="dxa"/>
            <w:tcBorders>
              <w:top w:val="nil"/>
              <w:left w:val="nil"/>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语文会场</w:t>
            </w:r>
          </w:p>
        </w:tc>
      </w:tr>
      <w:tr>
        <w:tblPrEx>
          <w:tblCellMar>
            <w:top w:w="0" w:type="dxa"/>
            <w:left w:w="108" w:type="dxa"/>
            <w:bottom w:w="0" w:type="dxa"/>
            <w:right w:w="108" w:type="dxa"/>
          </w:tblCellMar>
        </w:tblPrEx>
        <w:trPr>
          <w:trHeight w:val="606" w:hRule="atLeast"/>
        </w:trPr>
        <w:tc>
          <w:tcPr>
            <w:tcW w:w="1488"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rPr>
                <w:rFonts w:ascii="宋体" w:hAnsi="宋体" w:cs="宋体"/>
                <w:b/>
                <w:bCs/>
                <w:color w:val="000000"/>
                <w:szCs w:val="21"/>
                <w:highlight w:val="none"/>
              </w:rPr>
            </w:pPr>
          </w:p>
        </w:tc>
        <w:tc>
          <w:tcPr>
            <w:tcW w:w="1209"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nil"/>
              <w:left w:val="nil"/>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rPr>
                <w:rFonts w:ascii="宋体" w:hAnsi="宋体" w:cs="宋体"/>
                <w:b/>
                <w:bCs/>
                <w:color w:val="000000"/>
                <w:szCs w:val="21"/>
                <w:highlight w:val="none"/>
              </w:rPr>
            </w:pPr>
          </w:p>
        </w:tc>
        <w:tc>
          <w:tcPr>
            <w:tcW w:w="1209"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nil"/>
              <w:left w:val="nil"/>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rPr>
                <w:rFonts w:ascii="宋体" w:hAnsi="宋体" w:cs="宋体"/>
                <w:b/>
                <w:bCs/>
                <w:color w:val="000000"/>
                <w:szCs w:val="21"/>
                <w:highlight w:val="none"/>
              </w:rPr>
            </w:pPr>
          </w:p>
        </w:tc>
        <w:tc>
          <w:tcPr>
            <w:tcW w:w="1209"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nil"/>
              <w:left w:val="nil"/>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nil"/>
              <w:left w:val="nil"/>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2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2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2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60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2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33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6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73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60" w:lineRule="exact"/>
              <w:jc w:val="center"/>
              <w:rPr>
                <w:rFonts w:ascii="宋体" w:hAnsi="宋体" w:cs="宋体"/>
                <w:b/>
                <w:bCs/>
                <w:color w:val="000000"/>
                <w:szCs w:val="21"/>
                <w:highlight w:val="none"/>
              </w:rPr>
            </w:pPr>
          </w:p>
        </w:tc>
        <w:tc>
          <w:tcPr>
            <w:tcW w:w="1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60" w:lineRule="exact"/>
              <w:jc w:val="center"/>
              <w:rPr>
                <w:rFonts w:ascii="宋体" w:hAnsi="宋体" w:cs="宋体"/>
                <w:color w:val="000000"/>
                <w:szCs w:val="21"/>
                <w:highlight w:val="none"/>
              </w:rPr>
            </w:pPr>
          </w:p>
        </w:tc>
      </w:tr>
    </w:tbl>
    <w:p>
      <w:pPr>
        <w:spacing w:line="560" w:lineRule="exact"/>
        <w:rPr>
          <w:rFonts w:ascii="宋体" w:hAnsi="宋体" w:cs="宋体"/>
          <w:szCs w:val="21"/>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D1CE9"/>
    <w:multiLevelType w:val="singleLevel"/>
    <w:tmpl w:val="DBAD1CE9"/>
    <w:lvl w:ilvl="0" w:tentative="0">
      <w:start w:val="1"/>
      <w:numFmt w:val="decimal"/>
      <w:suff w:val="space"/>
      <w:lvlText w:val="%1."/>
      <w:lvlJc w:val="left"/>
      <w:pPr>
        <w:ind w:left="315" w:firstLine="0"/>
      </w:pPr>
    </w:lvl>
  </w:abstractNum>
  <w:abstractNum w:abstractNumId="1">
    <w:nsid w:val="FD46EF93"/>
    <w:multiLevelType w:val="singleLevel"/>
    <w:tmpl w:val="FD46EF93"/>
    <w:lvl w:ilvl="0" w:tentative="0">
      <w:start w:val="1"/>
      <w:numFmt w:val="decimal"/>
      <w:suff w:val="nothing"/>
      <w:lvlText w:val="（%1）"/>
      <w:lvlJc w:val="left"/>
    </w:lvl>
  </w:abstractNum>
  <w:abstractNum w:abstractNumId="2">
    <w:nsid w:val="3682698C"/>
    <w:multiLevelType w:val="multilevel"/>
    <w:tmpl w:val="3682698C"/>
    <w:lvl w:ilvl="0" w:tentative="0">
      <w:start w:val="4"/>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UsImhkaWQiOiJkYmYyNGNiOWZlNjA2OWZhMDEzZTM4YjZmYmFlZTY1NiIsInVzZXJDb3VudCI6M30="/>
  </w:docVars>
  <w:rsids>
    <w:rsidRoot w:val="7A0C16EE"/>
    <w:rsid w:val="00016CFA"/>
    <w:rsid w:val="00046381"/>
    <w:rsid w:val="00062EA5"/>
    <w:rsid w:val="00064ABD"/>
    <w:rsid w:val="00076A7B"/>
    <w:rsid w:val="000B51D6"/>
    <w:rsid w:val="000D24A7"/>
    <w:rsid w:val="000E1346"/>
    <w:rsid w:val="000E7C74"/>
    <w:rsid w:val="00134E75"/>
    <w:rsid w:val="0015354A"/>
    <w:rsid w:val="00170825"/>
    <w:rsid w:val="001837C6"/>
    <w:rsid w:val="00184B24"/>
    <w:rsid w:val="001B02E7"/>
    <w:rsid w:val="001B2698"/>
    <w:rsid w:val="001B629A"/>
    <w:rsid w:val="001E175C"/>
    <w:rsid w:val="00210FAE"/>
    <w:rsid w:val="002315ED"/>
    <w:rsid w:val="00262A23"/>
    <w:rsid w:val="00266A7B"/>
    <w:rsid w:val="002A59A9"/>
    <w:rsid w:val="002E1F1B"/>
    <w:rsid w:val="00303149"/>
    <w:rsid w:val="00303370"/>
    <w:rsid w:val="00334A8F"/>
    <w:rsid w:val="00350391"/>
    <w:rsid w:val="00351B14"/>
    <w:rsid w:val="0036058B"/>
    <w:rsid w:val="003B4911"/>
    <w:rsid w:val="003B5C81"/>
    <w:rsid w:val="003D6434"/>
    <w:rsid w:val="003F0138"/>
    <w:rsid w:val="003F07F8"/>
    <w:rsid w:val="003F4D66"/>
    <w:rsid w:val="00431E3D"/>
    <w:rsid w:val="004570A9"/>
    <w:rsid w:val="00461CC1"/>
    <w:rsid w:val="00461F0C"/>
    <w:rsid w:val="004728C3"/>
    <w:rsid w:val="00481CE9"/>
    <w:rsid w:val="004C76D5"/>
    <w:rsid w:val="004E7110"/>
    <w:rsid w:val="00532DCD"/>
    <w:rsid w:val="005B224B"/>
    <w:rsid w:val="005C5B72"/>
    <w:rsid w:val="00612A45"/>
    <w:rsid w:val="00631F1B"/>
    <w:rsid w:val="00642EDF"/>
    <w:rsid w:val="00650992"/>
    <w:rsid w:val="0067722F"/>
    <w:rsid w:val="00681A17"/>
    <w:rsid w:val="00686AEB"/>
    <w:rsid w:val="006A19DE"/>
    <w:rsid w:val="00702B24"/>
    <w:rsid w:val="007377D7"/>
    <w:rsid w:val="00740431"/>
    <w:rsid w:val="00740716"/>
    <w:rsid w:val="00742D1A"/>
    <w:rsid w:val="0077315F"/>
    <w:rsid w:val="007B4924"/>
    <w:rsid w:val="008206A5"/>
    <w:rsid w:val="00823B03"/>
    <w:rsid w:val="0082516A"/>
    <w:rsid w:val="008548F9"/>
    <w:rsid w:val="00873183"/>
    <w:rsid w:val="0089421F"/>
    <w:rsid w:val="00894566"/>
    <w:rsid w:val="008A5EDA"/>
    <w:rsid w:val="008B16B5"/>
    <w:rsid w:val="008D51F0"/>
    <w:rsid w:val="00946872"/>
    <w:rsid w:val="00982D1E"/>
    <w:rsid w:val="00991EDB"/>
    <w:rsid w:val="00992DD0"/>
    <w:rsid w:val="009A030A"/>
    <w:rsid w:val="009B112D"/>
    <w:rsid w:val="009F2172"/>
    <w:rsid w:val="00A44DC7"/>
    <w:rsid w:val="00A7614A"/>
    <w:rsid w:val="00A835B3"/>
    <w:rsid w:val="00AB60FA"/>
    <w:rsid w:val="00AC120A"/>
    <w:rsid w:val="00B00982"/>
    <w:rsid w:val="00B403B2"/>
    <w:rsid w:val="00B62133"/>
    <w:rsid w:val="00B71EE8"/>
    <w:rsid w:val="00B7771B"/>
    <w:rsid w:val="00C0087C"/>
    <w:rsid w:val="00C16723"/>
    <w:rsid w:val="00C31914"/>
    <w:rsid w:val="00C40CC2"/>
    <w:rsid w:val="00C757BB"/>
    <w:rsid w:val="00CA7752"/>
    <w:rsid w:val="00CB504B"/>
    <w:rsid w:val="00CD1738"/>
    <w:rsid w:val="00CD24D3"/>
    <w:rsid w:val="00D019B5"/>
    <w:rsid w:val="00D07BEC"/>
    <w:rsid w:val="00D10997"/>
    <w:rsid w:val="00D21CA7"/>
    <w:rsid w:val="00D471C8"/>
    <w:rsid w:val="00D7323B"/>
    <w:rsid w:val="00DE2D2C"/>
    <w:rsid w:val="00DE3841"/>
    <w:rsid w:val="00E0667A"/>
    <w:rsid w:val="00E144E6"/>
    <w:rsid w:val="00E152BF"/>
    <w:rsid w:val="00E201FE"/>
    <w:rsid w:val="00E235B8"/>
    <w:rsid w:val="00E57AA6"/>
    <w:rsid w:val="00EE5D75"/>
    <w:rsid w:val="00F051F2"/>
    <w:rsid w:val="00F34ECE"/>
    <w:rsid w:val="00F35CBB"/>
    <w:rsid w:val="00F8335F"/>
    <w:rsid w:val="00FC2E56"/>
    <w:rsid w:val="00FD4F94"/>
    <w:rsid w:val="011247FF"/>
    <w:rsid w:val="01A050EF"/>
    <w:rsid w:val="02182CE7"/>
    <w:rsid w:val="02AE0EE3"/>
    <w:rsid w:val="02B2285A"/>
    <w:rsid w:val="033200A0"/>
    <w:rsid w:val="0343386F"/>
    <w:rsid w:val="035717DD"/>
    <w:rsid w:val="036F4D79"/>
    <w:rsid w:val="03743872"/>
    <w:rsid w:val="03A10E4B"/>
    <w:rsid w:val="043C77C3"/>
    <w:rsid w:val="04561A95"/>
    <w:rsid w:val="0459019F"/>
    <w:rsid w:val="04F06E53"/>
    <w:rsid w:val="05353DA0"/>
    <w:rsid w:val="053B5A9F"/>
    <w:rsid w:val="054242E2"/>
    <w:rsid w:val="05645A89"/>
    <w:rsid w:val="05883ED0"/>
    <w:rsid w:val="059C47DA"/>
    <w:rsid w:val="05F926FF"/>
    <w:rsid w:val="066F6B42"/>
    <w:rsid w:val="08283748"/>
    <w:rsid w:val="09E33DCA"/>
    <w:rsid w:val="0A32484F"/>
    <w:rsid w:val="0AB26442"/>
    <w:rsid w:val="0AD32091"/>
    <w:rsid w:val="0BD56B25"/>
    <w:rsid w:val="0CBF7B4A"/>
    <w:rsid w:val="0D200E92"/>
    <w:rsid w:val="0D25310F"/>
    <w:rsid w:val="0EB86D83"/>
    <w:rsid w:val="0EE121F0"/>
    <w:rsid w:val="0F2C6214"/>
    <w:rsid w:val="0F566DED"/>
    <w:rsid w:val="0F816FA2"/>
    <w:rsid w:val="100F2B96"/>
    <w:rsid w:val="10144DBE"/>
    <w:rsid w:val="10AA3894"/>
    <w:rsid w:val="111807FE"/>
    <w:rsid w:val="118934A9"/>
    <w:rsid w:val="119D0921"/>
    <w:rsid w:val="11AB0A2A"/>
    <w:rsid w:val="1268673D"/>
    <w:rsid w:val="127A3E77"/>
    <w:rsid w:val="12D8710D"/>
    <w:rsid w:val="130B7EEE"/>
    <w:rsid w:val="13566F6C"/>
    <w:rsid w:val="136D62B3"/>
    <w:rsid w:val="141D3881"/>
    <w:rsid w:val="14997EA7"/>
    <w:rsid w:val="15082937"/>
    <w:rsid w:val="150F1F18"/>
    <w:rsid w:val="1546602D"/>
    <w:rsid w:val="157D13C5"/>
    <w:rsid w:val="15F80BFE"/>
    <w:rsid w:val="163523D5"/>
    <w:rsid w:val="166B784B"/>
    <w:rsid w:val="16A8318F"/>
    <w:rsid w:val="16B0772A"/>
    <w:rsid w:val="174F484D"/>
    <w:rsid w:val="1753608B"/>
    <w:rsid w:val="17BB6387"/>
    <w:rsid w:val="17C1746A"/>
    <w:rsid w:val="17F962FD"/>
    <w:rsid w:val="184B14B9"/>
    <w:rsid w:val="188026EA"/>
    <w:rsid w:val="18A46E1B"/>
    <w:rsid w:val="18D55226"/>
    <w:rsid w:val="18F81366"/>
    <w:rsid w:val="191775ED"/>
    <w:rsid w:val="194C2EF2"/>
    <w:rsid w:val="1AD25EC1"/>
    <w:rsid w:val="1B695A45"/>
    <w:rsid w:val="1B7712D1"/>
    <w:rsid w:val="1B995794"/>
    <w:rsid w:val="1C886977"/>
    <w:rsid w:val="1D0D54B9"/>
    <w:rsid w:val="1D101BF1"/>
    <w:rsid w:val="1DA43419"/>
    <w:rsid w:val="1DE1641B"/>
    <w:rsid w:val="1E883F4F"/>
    <w:rsid w:val="1EFD2558"/>
    <w:rsid w:val="1F40254E"/>
    <w:rsid w:val="1FBC0EEE"/>
    <w:rsid w:val="204C3212"/>
    <w:rsid w:val="20575962"/>
    <w:rsid w:val="205F4875"/>
    <w:rsid w:val="21E1506A"/>
    <w:rsid w:val="21E32F48"/>
    <w:rsid w:val="221B1FE8"/>
    <w:rsid w:val="22657A41"/>
    <w:rsid w:val="226E4FFF"/>
    <w:rsid w:val="22BB48F8"/>
    <w:rsid w:val="22D84291"/>
    <w:rsid w:val="23005595"/>
    <w:rsid w:val="23681B5E"/>
    <w:rsid w:val="242150D3"/>
    <w:rsid w:val="2423153B"/>
    <w:rsid w:val="24647FE5"/>
    <w:rsid w:val="257A162F"/>
    <w:rsid w:val="25DA71CE"/>
    <w:rsid w:val="266F6CBA"/>
    <w:rsid w:val="27797E80"/>
    <w:rsid w:val="27E15995"/>
    <w:rsid w:val="27E234BC"/>
    <w:rsid w:val="28350F8D"/>
    <w:rsid w:val="295167E3"/>
    <w:rsid w:val="29526C5E"/>
    <w:rsid w:val="298C3053"/>
    <w:rsid w:val="29B669AE"/>
    <w:rsid w:val="2A321A45"/>
    <w:rsid w:val="2B974712"/>
    <w:rsid w:val="2C155C0E"/>
    <w:rsid w:val="2C2422F5"/>
    <w:rsid w:val="2C5D22FC"/>
    <w:rsid w:val="2C673553"/>
    <w:rsid w:val="2C7F02A3"/>
    <w:rsid w:val="2CA92966"/>
    <w:rsid w:val="2CB564CA"/>
    <w:rsid w:val="2CC413E2"/>
    <w:rsid w:val="2CCD1955"/>
    <w:rsid w:val="2CE91625"/>
    <w:rsid w:val="2D65712B"/>
    <w:rsid w:val="2DBE16C7"/>
    <w:rsid w:val="2DC65866"/>
    <w:rsid w:val="2E254102"/>
    <w:rsid w:val="2E957C3B"/>
    <w:rsid w:val="2F5051AF"/>
    <w:rsid w:val="2F5F26CD"/>
    <w:rsid w:val="2FC14BAF"/>
    <w:rsid w:val="301027FA"/>
    <w:rsid w:val="303B7C0D"/>
    <w:rsid w:val="308475B5"/>
    <w:rsid w:val="310149B3"/>
    <w:rsid w:val="31097D0B"/>
    <w:rsid w:val="31857392"/>
    <w:rsid w:val="318D7578"/>
    <w:rsid w:val="324E3BA8"/>
    <w:rsid w:val="32615734"/>
    <w:rsid w:val="32904240"/>
    <w:rsid w:val="32BF0681"/>
    <w:rsid w:val="338F7D88"/>
    <w:rsid w:val="33AD78FD"/>
    <w:rsid w:val="348532B2"/>
    <w:rsid w:val="356013EF"/>
    <w:rsid w:val="35F4356D"/>
    <w:rsid w:val="364269DE"/>
    <w:rsid w:val="365612FD"/>
    <w:rsid w:val="36883480"/>
    <w:rsid w:val="372B71C7"/>
    <w:rsid w:val="376E08C8"/>
    <w:rsid w:val="377E3E14"/>
    <w:rsid w:val="37CC7418"/>
    <w:rsid w:val="383C2238"/>
    <w:rsid w:val="390F1D1B"/>
    <w:rsid w:val="39400D26"/>
    <w:rsid w:val="396C3658"/>
    <w:rsid w:val="3971644D"/>
    <w:rsid w:val="39802F23"/>
    <w:rsid w:val="398B50E9"/>
    <w:rsid w:val="3A0F194D"/>
    <w:rsid w:val="3A1C1864"/>
    <w:rsid w:val="3A344F60"/>
    <w:rsid w:val="3B4E6240"/>
    <w:rsid w:val="3DD14B8C"/>
    <w:rsid w:val="3E0B0C1F"/>
    <w:rsid w:val="3E214BBD"/>
    <w:rsid w:val="3E5B188C"/>
    <w:rsid w:val="3E630A5B"/>
    <w:rsid w:val="3EA370A9"/>
    <w:rsid w:val="3ECC7453"/>
    <w:rsid w:val="3F76656C"/>
    <w:rsid w:val="400C6ED0"/>
    <w:rsid w:val="401364B0"/>
    <w:rsid w:val="40B01F51"/>
    <w:rsid w:val="40F07A0F"/>
    <w:rsid w:val="41977839"/>
    <w:rsid w:val="41CD44C6"/>
    <w:rsid w:val="41EC7D48"/>
    <w:rsid w:val="43710744"/>
    <w:rsid w:val="445D2BF8"/>
    <w:rsid w:val="44967FE5"/>
    <w:rsid w:val="44E328F5"/>
    <w:rsid w:val="45637592"/>
    <w:rsid w:val="45EE69F8"/>
    <w:rsid w:val="4719358A"/>
    <w:rsid w:val="4770243A"/>
    <w:rsid w:val="477618E0"/>
    <w:rsid w:val="479559FD"/>
    <w:rsid w:val="47BE2AD9"/>
    <w:rsid w:val="47F6293F"/>
    <w:rsid w:val="481608EC"/>
    <w:rsid w:val="487808B1"/>
    <w:rsid w:val="48C22822"/>
    <w:rsid w:val="48CD0697"/>
    <w:rsid w:val="49206DCE"/>
    <w:rsid w:val="492A3D2B"/>
    <w:rsid w:val="49C134C3"/>
    <w:rsid w:val="4B0105F2"/>
    <w:rsid w:val="4BD27220"/>
    <w:rsid w:val="4BEF33A2"/>
    <w:rsid w:val="4C3A6FD0"/>
    <w:rsid w:val="4C675BBA"/>
    <w:rsid w:val="4CF83380"/>
    <w:rsid w:val="4CFD651E"/>
    <w:rsid w:val="4D0C6761"/>
    <w:rsid w:val="4D3C2680"/>
    <w:rsid w:val="4D5F1531"/>
    <w:rsid w:val="4DC12C40"/>
    <w:rsid w:val="4E2C6D84"/>
    <w:rsid w:val="4ED14846"/>
    <w:rsid w:val="4ED60DD5"/>
    <w:rsid w:val="4F505F52"/>
    <w:rsid w:val="4FCE41A2"/>
    <w:rsid w:val="506A69A0"/>
    <w:rsid w:val="509671E9"/>
    <w:rsid w:val="51202C9F"/>
    <w:rsid w:val="51431DF8"/>
    <w:rsid w:val="51E85FCC"/>
    <w:rsid w:val="521265C8"/>
    <w:rsid w:val="5244074B"/>
    <w:rsid w:val="527E1EAF"/>
    <w:rsid w:val="52B86DB2"/>
    <w:rsid w:val="52BF3858"/>
    <w:rsid w:val="52CD0741"/>
    <w:rsid w:val="537440F1"/>
    <w:rsid w:val="53F57A86"/>
    <w:rsid w:val="55195641"/>
    <w:rsid w:val="5521354E"/>
    <w:rsid w:val="554746B6"/>
    <w:rsid w:val="55D24382"/>
    <w:rsid w:val="569C2A89"/>
    <w:rsid w:val="56BE2754"/>
    <w:rsid w:val="56C30125"/>
    <w:rsid w:val="57A064B2"/>
    <w:rsid w:val="5829466B"/>
    <w:rsid w:val="5861548F"/>
    <w:rsid w:val="58FA3C25"/>
    <w:rsid w:val="59253085"/>
    <w:rsid w:val="59914E4A"/>
    <w:rsid w:val="5A210AC0"/>
    <w:rsid w:val="5A2A6479"/>
    <w:rsid w:val="5A2C78C0"/>
    <w:rsid w:val="5A430487"/>
    <w:rsid w:val="5ABA15AB"/>
    <w:rsid w:val="5B5F592C"/>
    <w:rsid w:val="5BB26726"/>
    <w:rsid w:val="5C7E7164"/>
    <w:rsid w:val="5D3D2D61"/>
    <w:rsid w:val="5D7774B7"/>
    <w:rsid w:val="5DC3599E"/>
    <w:rsid w:val="5E45329D"/>
    <w:rsid w:val="5EFE5041"/>
    <w:rsid w:val="5F1F07A7"/>
    <w:rsid w:val="5F2E7138"/>
    <w:rsid w:val="5F542102"/>
    <w:rsid w:val="61446072"/>
    <w:rsid w:val="61CF6906"/>
    <w:rsid w:val="625B7A1B"/>
    <w:rsid w:val="62E92D80"/>
    <w:rsid w:val="63141674"/>
    <w:rsid w:val="63C93C8A"/>
    <w:rsid w:val="641511C1"/>
    <w:rsid w:val="643B4B57"/>
    <w:rsid w:val="65446A2D"/>
    <w:rsid w:val="65541172"/>
    <w:rsid w:val="66AE3114"/>
    <w:rsid w:val="66B12B53"/>
    <w:rsid w:val="675C6581"/>
    <w:rsid w:val="67BE19D6"/>
    <w:rsid w:val="681A18DB"/>
    <w:rsid w:val="69441C8D"/>
    <w:rsid w:val="69D1246D"/>
    <w:rsid w:val="69FF347E"/>
    <w:rsid w:val="6A997812"/>
    <w:rsid w:val="6AA933EA"/>
    <w:rsid w:val="6AC10733"/>
    <w:rsid w:val="6AD604D5"/>
    <w:rsid w:val="6AEA2361"/>
    <w:rsid w:val="6B361121"/>
    <w:rsid w:val="6B7A689D"/>
    <w:rsid w:val="6B7D0AFE"/>
    <w:rsid w:val="6B9145AA"/>
    <w:rsid w:val="6BE04BE9"/>
    <w:rsid w:val="6C0104E9"/>
    <w:rsid w:val="6C084647"/>
    <w:rsid w:val="6C2C7E2E"/>
    <w:rsid w:val="6C5B6D9A"/>
    <w:rsid w:val="6DAA3E25"/>
    <w:rsid w:val="6DBE71AC"/>
    <w:rsid w:val="6EE36ECA"/>
    <w:rsid w:val="6F90311B"/>
    <w:rsid w:val="6FA25BDC"/>
    <w:rsid w:val="6FA47A62"/>
    <w:rsid w:val="722B4318"/>
    <w:rsid w:val="73883B24"/>
    <w:rsid w:val="738F5872"/>
    <w:rsid w:val="739B1A3B"/>
    <w:rsid w:val="73AE33E3"/>
    <w:rsid w:val="74292D54"/>
    <w:rsid w:val="75113DA2"/>
    <w:rsid w:val="751F49D4"/>
    <w:rsid w:val="755F74C6"/>
    <w:rsid w:val="757462FA"/>
    <w:rsid w:val="75856EB5"/>
    <w:rsid w:val="76112FA6"/>
    <w:rsid w:val="766517DE"/>
    <w:rsid w:val="77764653"/>
    <w:rsid w:val="778A2230"/>
    <w:rsid w:val="77A76218"/>
    <w:rsid w:val="78534D9B"/>
    <w:rsid w:val="78624EF2"/>
    <w:rsid w:val="79072096"/>
    <w:rsid w:val="795C61F7"/>
    <w:rsid w:val="79696AE0"/>
    <w:rsid w:val="79C9476C"/>
    <w:rsid w:val="79DA4A18"/>
    <w:rsid w:val="7A0C16EE"/>
    <w:rsid w:val="7C15268D"/>
    <w:rsid w:val="7C9D4400"/>
    <w:rsid w:val="7CE0128B"/>
    <w:rsid w:val="7D2B75E2"/>
    <w:rsid w:val="7D6C7F41"/>
    <w:rsid w:val="7D995730"/>
    <w:rsid w:val="7E95218D"/>
    <w:rsid w:val="7ED7591B"/>
    <w:rsid w:val="7F3379FA"/>
    <w:rsid w:val="7F41431F"/>
    <w:rsid w:val="7F626E1B"/>
    <w:rsid w:val="7FB90F14"/>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3">
    <w:name w:val="annotation text"/>
    <w:basedOn w:val="1"/>
    <w:link w:val="18"/>
    <w:qFormat/>
    <w:uiPriority w:val="0"/>
    <w:pPr>
      <w:jc w:val="left"/>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9"/>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font31"/>
    <w:basedOn w:val="10"/>
    <w:qFormat/>
    <w:uiPriority w:val="0"/>
    <w:rPr>
      <w:rFonts w:hint="eastAsia" w:ascii="宋体" w:hAnsi="宋体" w:eastAsia="宋体" w:cs="宋体"/>
      <w:color w:val="000000"/>
      <w:sz w:val="22"/>
      <w:szCs w:val="22"/>
      <w:u w:val="none"/>
    </w:rPr>
  </w:style>
  <w:style w:type="character" w:customStyle="1" w:styleId="15">
    <w:name w:val="font41"/>
    <w:basedOn w:val="10"/>
    <w:qFormat/>
    <w:uiPriority w:val="0"/>
    <w:rPr>
      <w:rFonts w:hint="eastAsia" w:ascii="宋体" w:hAnsi="宋体" w:eastAsia="宋体" w:cs="宋体"/>
      <w:color w:val="000000"/>
      <w:sz w:val="21"/>
      <w:szCs w:val="21"/>
      <w:u w:val="none"/>
    </w:rPr>
  </w:style>
  <w:style w:type="character" w:customStyle="1" w:styleId="16">
    <w:name w:val="页眉 字符"/>
    <w:basedOn w:val="10"/>
    <w:link w:val="5"/>
    <w:qFormat/>
    <w:uiPriority w:val="0"/>
    <w:rPr>
      <w:kern w:val="2"/>
      <w:sz w:val="18"/>
      <w:szCs w:val="18"/>
    </w:rPr>
  </w:style>
  <w:style w:type="character" w:customStyle="1" w:styleId="17">
    <w:name w:val="页脚 字符"/>
    <w:basedOn w:val="10"/>
    <w:link w:val="4"/>
    <w:qFormat/>
    <w:uiPriority w:val="0"/>
    <w:rPr>
      <w:kern w:val="2"/>
      <w:sz w:val="18"/>
      <w:szCs w:val="18"/>
    </w:rPr>
  </w:style>
  <w:style w:type="character" w:customStyle="1" w:styleId="18">
    <w:name w:val="批注文字 字符"/>
    <w:basedOn w:val="10"/>
    <w:link w:val="3"/>
    <w:qFormat/>
    <w:uiPriority w:val="0"/>
    <w:rPr>
      <w:kern w:val="2"/>
      <w:sz w:val="21"/>
      <w:szCs w:val="24"/>
    </w:rPr>
  </w:style>
  <w:style w:type="character" w:customStyle="1" w:styleId="19">
    <w:name w:val="批注主题 字符"/>
    <w:basedOn w:val="18"/>
    <w:link w:val="7"/>
    <w:qFormat/>
    <w:uiPriority w:val="0"/>
    <w:rPr>
      <w:b/>
      <w:bCs/>
      <w:kern w:val="2"/>
      <w:sz w:val="21"/>
      <w:szCs w:val="24"/>
    </w:rPr>
  </w:style>
  <w:style w:type="character" w:customStyle="1" w:styleId="20">
    <w:name w:val="font01"/>
    <w:basedOn w:val="10"/>
    <w:qFormat/>
    <w:uiPriority w:val="0"/>
    <w:rPr>
      <w:rFonts w:hint="eastAsia" w:ascii="宋体" w:hAnsi="宋体" w:eastAsia="宋体" w:cs="宋体"/>
      <w:color w:val="000000"/>
      <w:sz w:val="21"/>
      <w:szCs w:val="21"/>
      <w:u w:val="none"/>
    </w:rPr>
  </w:style>
  <w:style w:type="character" w:customStyle="1" w:styleId="21">
    <w:name w:val="正文文本 字符"/>
    <w:basedOn w:val="10"/>
    <w:link w:val="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QM\AppData\Roaming\kingsoft\office6\docerresourceshop\template\20414173\b3c9f76c-59bf-4eb4-8f67-1838196c4a79\&#31471;&#21320;&#33410;&#25918;&#20551;&#36890;&#30693;&#65288;&#32418;&#22836;&#25991;&#20214;&#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端午节放假通知（红头文件）.docx</Template>
  <Pages>6</Pages>
  <Words>1655</Words>
  <Characters>1932</Characters>
  <Lines>19</Lines>
  <Paragraphs>5</Paragraphs>
  <TotalTime>4</TotalTime>
  <ScaleCrop>false</ScaleCrop>
  <LinksUpToDate>false</LinksUpToDate>
  <CharactersWithSpaces>2143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2022-04-15T04:36:00Z</dcterms:created>
  <dc:creator> GQM</dc:creator>
  <cp:lastModifiedBy>清风</cp:lastModifiedBy>
  <cp:lastPrinted>2021-10-24T00:11:00Z</cp:lastPrinted>
  <dcterms:modified xsi:type="dcterms:W3CDTF">2022-05-17T08:53:48Z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TemplateUUID">
    <vt:lpwstr>v1.0_mb_iVbbQMRZGZsyRO3b5h+zKA==</vt:lpwstr>
  </property>
  <property fmtid="{D5CDD505-2E9C-101B-9397-08002B2CF9AE}" pid="4" name="ICV">
    <vt:lpwstr>6402F1123F724AF7BE23C5D409D1DEBE</vt:lpwstr>
  </property>
</Properties>
</file>